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2E2AFF"/>
          <w:spacing w:val="30"/>
          <w:sz w:val="20"/>
          <w:szCs w:val="20"/>
        </w:rPr>
        <w:t xml:space="preserve">Software Requirements Specification</w:t>
      </w:r>
    </w:p>
    <w:p>
      <w:pPr>
        <w:spacing w:after="60"/>
      </w:pPr>
      <w:r>
        <w:rPr>
          <w:rFonts w:ascii="Calibri" w:cs="Calibri" w:eastAsia="Calibri" w:hAnsi="Calibri"/>
          <w:b/>
          <w:bCs/>
          <w:color w:val="2E2AFF"/>
          <w:sz w:val="56"/>
          <w:szCs w:val="56"/>
        </w:rPr>
        <w:t xml:space="preserve">/</w:t>
      </w:r>
      <w:r>
        <w:rPr>
          <w:rFonts w:ascii="Calibri" w:cs="Calibri" w:eastAsia="Calibri" w:hAnsi="Calibri"/>
          <w:b/>
          <w:bCs/>
          <w:color w:val="14110D"/>
          <w:sz w:val="56"/>
          <w:szCs w:val="56"/>
        </w:rPr>
        <w:t xml:space="preserve">susgrade</w:t>
      </w:r>
    </w:p>
    <w:p>
      <w:pPr>
        <w:pBdr>
          <w:bottom w:val="single" w:color="14110D" w:sz="12"/>
        </w:pBdr>
        <w:spacing w:after="240"/>
      </w:pPr>
      <w:r>
        <w:rPr>
          <w:rFonts w:ascii="Calibri" w:cs="Calibri" w:eastAsia="Calibri" w:hAnsi="Calibri"/>
          <w:i/>
          <w:iCs/>
          <w:color w:val="555049"/>
          <w:sz w:val="24"/>
          <w:szCs w:val="24"/>
        </w:rPr>
        <w:t xml:space="preserve">See what's actually worth testing.</w:t>
      </w:r>
    </w:p>
    <w:tbl>
      <w:tblPr>
        <w:tblW w:type="dxa" w:w="9360"/>
        <w:tblBorders>
          <w:top w:val="single" w:color="CCCAC0" w:sz="4"/>
          <w:left w:val="single" w:color="CCCAC0" w:sz="4"/>
          <w:bottom w:val="single" w:color="CCCAC0" w:sz="4"/>
          <w:right w:val="single" w:color="CCCAC0" w:sz="4"/>
          <w:insideH w:val="single" w:color="CCCAC0" w:sz="4"/>
          <w:insideV w:val="single" w:color="CCCAC0" w:sz="4"/>
        </w:tblBorders>
      </w:tblPr>
      <w:tblGrid>
        <w:gridCol w:w="2700"/>
        <w:gridCol w:w="6660"/>
      </w:tblGrid>
      <w:tr>
        <w:tc>
          <w:tcPr>
            <w:tcW w:type="dxa" w:w="2700"/>
            <w:shd w:fill="F0EFF9" w:color="auto" w:val="clear"/>
            <w:tcMar>
              <w:top w:type="dxa" w:w="90"/>
              <w:left w:type="dxa" w:w="130"/>
              <w:bottom w:type="dxa" w:w="90"/>
              <w:right w:type="dxa" w:w="130"/>
            </w:tcMar>
          </w:tcPr>
          <w:p>
            <w:r>
              <w:rPr>
                <w:rFonts w:ascii="Calibri" w:cs="Calibri" w:eastAsia="Calibri" w:hAnsi="Calibri"/>
                <w:b/>
                <w:bCs/>
                <w:color w:val="14110D"/>
                <w:sz w:val="22"/>
                <w:szCs w:val="22"/>
              </w:rPr>
              <w:t xml:space="preserve">Project Title</w:t>
            </w:r>
          </w:p>
        </w:tc>
        <w:tc>
          <w:tcPr>
            <w:tcW w:type="dxa" w:w="6660"/>
            <w:tcMar>
              <w:top w:type="dxa" w:w="90"/>
              <w:left w:type="dxa" w:w="130"/>
              <w:bottom w:type="dxa" w:w="90"/>
              <w:right w:type="dxa" w:w="130"/>
            </w:tcMar>
          </w:tcPr>
          <w:p>
            <w:pPr>
              <w:spacing w:after="20"/>
            </w:pPr>
            <w:r>
              <w:rPr>
                <w:rFonts w:ascii="Calibri" w:cs="Calibri" w:eastAsia="Calibri" w:hAnsi="Calibri"/>
                <w:b/>
                <w:bCs/>
                <w:color w:val="14110D"/>
                <w:sz w:val="22"/>
                <w:szCs w:val="22"/>
              </w:rPr>
              <w:t xml:space="preserve">susgrade</w:t>
            </w:r>
          </w:p>
          <w:p>
            <w:pPr>
              <w:spacing w:after="20"/>
            </w:pPr>
            <w:r>
              <w:rPr>
                <w:rFonts w:ascii="Calibri" w:cs="Calibri" w:eastAsia="Calibri" w:hAnsi="Calibri"/>
                <w:color w:val="555049"/>
                <w:sz w:val="21"/>
                <w:szCs w:val="21"/>
              </w:rPr>
              <w:t xml:space="preserve">A test-effectiveness analyzer combining cyclomatic complexity and mutation testing for Python</w:t>
            </w:r>
          </w:p>
        </w:tc>
      </w:tr>
      <w:tr>
        <w:tc>
          <w:tcPr>
            <w:tcW w:type="dxa" w:w="2700"/>
            <w:shd w:fill="F0EFF9" w:color="auto" w:val="clear"/>
            <w:tcMar>
              <w:top w:type="dxa" w:w="90"/>
              <w:left w:type="dxa" w:w="130"/>
              <w:bottom w:type="dxa" w:w="90"/>
              <w:right w:type="dxa" w:w="130"/>
            </w:tcMar>
          </w:tcPr>
          <w:p>
            <w:r>
              <w:rPr>
                <w:rFonts w:ascii="Calibri" w:cs="Calibri" w:eastAsia="Calibri" w:hAnsi="Calibri"/>
                <w:b/>
                <w:bCs/>
                <w:color w:val="14110D"/>
                <w:sz w:val="22"/>
                <w:szCs w:val="22"/>
              </w:rPr>
              <w:t xml:space="preserve">Team Members</w:t>
            </w:r>
          </w:p>
        </w:tc>
        <w:tc>
          <w:tcPr>
            <w:tcW w:type="dxa" w:w="6660"/>
            <w:tcMar>
              <w:top w:type="dxa" w:w="90"/>
              <w:left w:type="dxa" w:w="130"/>
              <w:bottom w:type="dxa" w:w="90"/>
              <w:right w:type="dxa" w:w="130"/>
            </w:tcMar>
          </w:tcPr>
          <w:p>
            <w:pPr>
              <w:spacing w:after="20"/>
            </w:pPr>
            <w:r>
              <w:rPr>
                <w:rFonts w:ascii="Calibri" w:cs="Calibri" w:eastAsia="Calibri" w:hAnsi="Calibri"/>
                <w:b/>
                <w:bCs/>
                <w:color w:val="14110D"/>
                <w:sz w:val="22"/>
                <w:szCs w:val="22"/>
              </w:rPr>
              <w:t xml:space="preserve">Aman Behera</w:t>
            </w:r>
            <w:r>
              <w:rPr>
                <w:rFonts w:ascii="Calibri" w:cs="Calibri" w:eastAsia="Calibri" w:hAnsi="Calibri"/>
                <w:color w:val="555049"/>
                <w:sz w:val="22"/>
                <w:szCs w:val="22"/>
              </w:rPr>
              <w:t xml:space="preserve">   —   23FE10CSE00607</w:t>
            </w:r>
          </w:p>
          <w:p>
            <w:pPr>
              <w:spacing w:after="20"/>
            </w:pPr>
            <w:r>
              <w:rPr>
                <w:rFonts w:ascii="Calibri" w:cs="Calibri" w:eastAsia="Calibri" w:hAnsi="Calibri"/>
                <w:b/>
                <w:bCs/>
                <w:color w:val="14110D"/>
                <w:sz w:val="22"/>
                <w:szCs w:val="22"/>
              </w:rPr>
              <w:t xml:space="preserve">Bhomik Jain</w:t>
            </w:r>
            <w:r>
              <w:rPr>
                <w:rFonts w:ascii="Calibri" w:cs="Calibri" w:eastAsia="Calibri" w:hAnsi="Calibri"/>
                <w:color w:val="555049"/>
                <w:sz w:val="22"/>
                <w:szCs w:val="22"/>
              </w:rPr>
              <w:t xml:space="preserve">   —   23FE10CSE00707</w:t>
            </w:r>
          </w:p>
        </w:tc>
      </w:tr>
      <w:tr>
        <w:tc>
          <w:tcPr>
            <w:tcW w:type="dxa" w:w="2700"/>
            <w:shd w:fill="F0EFF9" w:color="auto" w:val="clear"/>
            <w:tcMar>
              <w:top w:type="dxa" w:w="90"/>
              <w:left w:type="dxa" w:w="130"/>
              <w:bottom w:type="dxa" w:w="90"/>
              <w:right w:type="dxa" w:w="130"/>
            </w:tcMar>
          </w:tcPr>
          <w:p>
            <w:r>
              <w:rPr>
                <w:rFonts w:ascii="Calibri" w:cs="Calibri" w:eastAsia="Calibri" w:hAnsi="Calibri"/>
                <w:b/>
                <w:bCs/>
                <w:color w:val="14110D"/>
                <w:sz w:val="22"/>
                <w:szCs w:val="22"/>
              </w:rPr>
              <w:t xml:space="preserve">Course</w:t>
            </w:r>
          </w:p>
        </w:tc>
        <w:tc>
          <w:tcPr>
            <w:tcW w:type="dxa" w:w="6660"/>
            <w:tcMar>
              <w:top w:type="dxa" w:w="90"/>
              <w:left w:type="dxa" w:w="130"/>
              <w:bottom w:type="dxa" w:w="90"/>
              <w:right w:type="dxa" w:w="130"/>
            </w:tcMar>
          </w:tcPr>
          <w:p>
            <w:pPr>
              <w:spacing w:after="20"/>
            </w:pPr>
            <w:r>
              <w:rPr>
                <w:rFonts w:ascii="Calibri" w:cs="Calibri" w:eastAsia="Calibri" w:hAnsi="Calibri"/>
                <w:color w:val="14110D"/>
                <w:sz w:val="22"/>
                <w:szCs w:val="22"/>
              </w:rPr>
              <w:t xml:space="preserve">CSE4149 — Software Verification and Testing</w:t>
            </w:r>
          </w:p>
        </w:tc>
      </w:tr>
      <w:tr>
        <w:tc>
          <w:tcPr>
            <w:tcW w:type="dxa" w:w="2700"/>
            <w:shd w:fill="F0EFF9" w:color="auto" w:val="clear"/>
            <w:tcMar>
              <w:top w:type="dxa" w:w="90"/>
              <w:left w:type="dxa" w:w="130"/>
              <w:bottom w:type="dxa" w:w="90"/>
              <w:right w:type="dxa" w:w="130"/>
            </w:tcMar>
          </w:tcPr>
          <w:p>
            <w:r>
              <w:rPr>
                <w:rFonts w:ascii="Calibri" w:cs="Calibri" w:eastAsia="Calibri" w:hAnsi="Calibri"/>
                <w:b/>
                <w:bCs/>
                <w:color w:val="14110D"/>
                <w:sz w:val="22"/>
                <w:szCs w:val="22"/>
              </w:rPr>
              <w:t xml:space="preserve">Programme</w:t>
            </w:r>
          </w:p>
        </w:tc>
        <w:tc>
          <w:tcPr>
            <w:tcW w:type="dxa" w:w="6660"/>
            <w:tcMar>
              <w:top w:type="dxa" w:w="90"/>
              <w:left w:type="dxa" w:w="130"/>
              <w:bottom w:type="dxa" w:w="90"/>
              <w:right w:type="dxa" w:w="130"/>
            </w:tcMar>
          </w:tcPr>
          <w:p>
            <w:pPr>
              <w:spacing w:after="20"/>
            </w:pPr>
            <w:r>
              <w:rPr>
                <w:rFonts w:ascii="Calibri" w:cs="Calibri" w:eastAsia="Calibri" w:hAnsi="Calibri"/>
                <w:color w:val="14110D"/>
                <w:sz w:val="22"/>
                <w:szCs w:val="22"/>
              </w:rPr>
              <w:t xml:space="preserve">B.Tech Computer Science and Engineering · 7th Semester</w:t>
            </w:r>
          </w:p>
        </w:tc>
      </w:tr>
      <w:tr>
        <w:tc>
          <w:tcPr>
            <w:tcW w:type="dxa" w:w="2700"/>
            <w:shd w:fill="F0EFF9" w:color="auto" w:val="clear"/>
            <w:tcMar>
              <w:top w:type="dxa" w:w="90"/>
              <w:left w:type="dxa" w:w="130"/>
              <w:bottom w:type="dxa" w:w="90"/>
              <w:right w:type="dxa" w:w="130"/>
            </w:tcMar>
          </w:tcPr>
          <w:p>
            <w:r>
              <w:rPr>
                <w:rFonts w:ascii="Calibri" w:cs="Calibri" w:eastAsia="Calibri" w:hAnsi="Calibri"/>
                <w:b/>
                <w:bCs/>
                <w:color w:val="14110D"/>
                <w:sz w:val="22"/>
                <w:szCs w:val="22"/>
              </w:rPr>
              <w:t xml:space="preserve">Institution</w:t>
            </w:r>
          </w:p>
        </w:tc>
        <w:tc>
          <w:tcPr>
            <w:tcW w:type="dxa" w:w="6660"/>
            <w:tcMar>
              <w:top w:type="dxa" w:w="90"/>
              <w:left w:type="dxa" w:w="130"/>
              <w:bottom w:type="dxa" w:w="90"/>
              <w:right w:type="dxa" w:w="130"/>
            </w:tcMar>
          </w:tcPr>
          <w:p>
            <w:pPr>
              <w:spacing w:after="20"/>
            </w:pPr>
            <w:r>
              <w:rPr>
                <w:rFonts w:ascii="Calibri" w:cs="Calibri" w:eastAsia="Calibri" w:hAnsi="Calibri"/>
                <w:color w:val="14110D"/>
                <w:sz w:val="22"/>
                <w:szCs w:val="22"/>
              </w:rPr>
              <w:t xml:space="preserve">Manipal University Jaipur</w:t>
            </w:r>
          </w:p>
        </w:tc>
      </w:tr>
      <w:tr>
        <w:tc>
          <w:tcPr>
            <w:tcW w:type="dxa" w:w="2700"/>
            <w:shd w:fill="F0EFF9" w:color="auto" w:val="clear"/>
            <w:tcMar>
              <w:top w:type="dxa" w:w="90"/>
              <w:left w:type="dxa" w:w="130"/>
              <w:bottom w:type="dxa" w:w="90"/>
              <w:right w:type="dxa" w:w="130"/>
            </w:tcMar>
          </w:tcPr>
          <w:p>
            <w:r>
              <w:rPr>
                <w:rFonts w:ascii="Calibri" w:cs="Calibri" w:eastAsia="Calibri" w:hAnsi="Calibri"/>
                <w:b/>
                <w:bCs/>
                <w:color w:val="14110D"/>
                <w:sz w:val="22"/>
                <w:szCs w:val="22"/>
              </w:rPr>
              <w:t xml:space="preserve">Document</w:t>
            </w:r>
          </w:p>
        </w:tc>
        <w:tc>
          <w:tcPr>
            <w:tcW w:type="dxa" w:w="6660"/>
            <w:tcMar>
              <w:top w:type="dxa" w:w="90"/>
              <w:left w:type="dxa" w:w="130"/>
              <w:bottom w:type="dxa" w:w="90"/>
              <w:right w:type="dxa" w:w="130"/>
            </w:tcMar>
          </w:tcPr>
          <w:p>
            <w:pPr>
              <w:spacing w:after="20"/>
            </w:pPr>
            <w:r>
              <w:rPr>
                <w:rFonts w:ascii="Calibri" w:cs="Calibri" w:eastAsia="Calibri" w:hAnsi="Calibri"/>
                <w:color w:val="14110D"/>
                <w:sz w:val="22"/>
                <w:szCs w:val="22"/>
              </w:rPr>
              <w:t xml:space="preserve">Software Requirements Specification (SRS) · Version 1.0</w:t>
            </w:r>
          </w:p>
        </w:tc>
      </w:tr>
    </w:tbl>
    <w:p>
      <w:pPr>
        <w:spacing w:after="120"/>
      </w:pPr>
    </w:p>
    <w:p>
      <w:pPr>
        <w:pStyle w:val="Heading1"/>
        <w:spacing w:after="140" w:before="340"/>
      </w:pPr>
      <w:r>
        <w:rPr>
          <w:rFonts w:ascii="Calibri" w:cs="Calibri" w:eastAsia="Calibri" w:hAnsi="Calibri"/>
          <w:b/>
          <w:bCs/>
          <w:color w:val="2E2AFF"/>
          <w:sz w:val="30"/>
          <w:szCs w:val="30"/>
        </w:rPr>
        <w:t xml:space="preserve">1.  </w:t>
      </w:r>
      <w:r>
        <w:rPr>
          <w:rFonts w:ascii="Calibri" w:cs="Calibri" w:eastAsia="Calibri" w:hAnsi="Calibri"/>
          <w:b/>
          <w:bCs/>
          <w:color w:val="14110D"/>
          <w:sz w:val="30"/>
          <w:szCs w:val="30"/>
        </w:rPr>
        <w:t xml:space="preserve">Introduction</w:t>
      </w:r>
    </w:p>
    <w:p>
      <w:pPr>
        <w:pStyle w:val="Heading2"/>
        <w:spacing w:after="90" w:before="240"/>
      </w:pPr>
      <w:r>
        <w:rPr>
          <w:rFonts w:ascii="Calibri" w:cs="Calibri" w:eastAsia="Calibri" w:hAnsi="Calibri"/>
          <w:b/>
          <w:bCs/>
          <w:color w:val="2E2AFF"/>
          <w:sz w:val="24"/>
          <w:szCs w:val="24"/>
        </w:rPr>
        <w:t xml:space="preserve">1.1  </w:t>
      </w:r>
      <w:r>
        <w:rPr>
          <w:rFonts w:ascii="Calibri" w:cs="Calibri" w:eastAsia="Calibri" w:hAnsi="Calibri"/>
          <w:b/>
          <w:bCs/>
          <w:color w:val="14110D"/>
          <w:sz w:val="24"/>
          <w:szCs w:val="24"/>
        </w:rPr>
        <w:t xml:space="preserve">Purpose</w:t>
      </w:r>
    </w:p>
    <w:p>
      <w:pPr>
        <w:spacing w:after="140" w:line="276"/>
        <w:jc w:val="both"/>
      </w:pPr>
      <w:r>
        <w:rPr>
          <w:rFonts w:ascii="Calibri" w:cs="Calibri" w:eastAsia="Calibri" w:hAnsi="Calibri"/>
          <w:color w:val="14110D"/>
          <w:sz w:val="22"/>
          <w:szCs w:val="22"/>
        </w:rPr>
        <w:t xml:space="preserve">This Software Requirements Specification (SRS) describes the functional and non-functional requirements for </w:t>
      </w:r>
      <w:r>
        <w:rPr>
          <w:rFonts w:ascii="Calibri" w:cs="Calibri" w:eastAsia="Calibri" w:hAnsi="Calibri"/>
          <w:b/>
          <w:bCs/>
          <w:color w:val="14110D"/>
          <w:sz w:val="22"/>
          <w:szCs w:val="22"/>
        </w:rPr>
        <w:t xml:space="preserve">susgrade</w:t>
      </w:r>
      <w:r>
        <w:rPr>
          <w:rFonts w:ascii="Calibri" w:cs="Calibri" w:eastAsia="Calibri" w:hAnsi="Calibri"/>
          <w:color w:val="14110D"/>
          <w:sz w:val="22"/>
          <w:szCs w:val="22"/>
        </w:rPr>
        <w:t xml:space="preserve">, version 1.0. susgrade is a test-effectiveness analysis tool for Python source code. Its purpose is to give developers a clear, quantitative picture of how much of their code genuinely needs testing and how well their existing tests perform, so that testing effort can be directed to where it matters most.</w:t>
      </w:r>
    </w:p>
    <w:p>
      <w:pPr>
        <w:spacing w:after="140" w:line="276"/>
        <w:jc w:val="both"/>
      </w:pPr>
      <w:r>
        <w:rPr>
          <w:rFonts w:ascii="Calibri" w:cs="Calibri" w:eastAsia="Calibri" w:hAnsi="Calibri"/>
          <w:color w:val="14110D"/>
          <w:sz w:val="22"/>
          <w:szCs w:val="22"/>
        </w:rPr>
        <w:t xml:space="preserve">The tool combines two well-established software-quality signals. </w:t>
      </w:r>
      <w:r>
        <w:rPr>
          <w:rFonts w:ascii="Calibri" w:cs="Calibri" w:eastAsia="Calibri" w:hAnsi="Calibri"/>
          <w:b/>
          <w:bCs/>
          <w:color w:val="14110D"/>
          <w:sz w:val="22"/>
          <w:szCs w:val="22"/>
        </w:rPr>
        <w:t xml:space="preserve">Cyclomatic complexity</w:t>
      </w:r>
      <w:r>
        <w:rPr>
          <w:rFonts w:ascii="Calibri" w:cs="Calibri" w:eastAsia="Calibri" w:hAnsi="Calibri"/>
          <w:color w:val="14110D"/>
          <w:sz w:val="22"/>
          <w:szCs w:val="22"/>
        </w:rPr>
        <w:t xml:space="preserve"> measures the number of linearly independent paths through a function and therefore indicates how much logic must be exercised to test it thoroughly. </w:t>
      </w:r>
      <w:r>
        <w:rPr>
          <w:rFonts w:ascii="Calibri" w:cs="Calibri" w:eastAsia="Calibri" w:hAnsi="Calibri"/>
          <w:b/>
          <w:bCs/>
          <w:color w:val="14110D"/>
          <w:sz w:val="22"/>
          <w:szCs w:val="22"/>
        </w:rPr>
        <w:t xml:space="preserve">Mutation testing</w:t>
      </w:r>
      <w:r>
        <w:rPr>
          <w:rFonts w:ascii="Calibri" w:cs="Calibri" w:eastAsia="Calibri" w:hAnsi="Calibri"/>
          <w:color w:val="14110D"/>
          <w:sz w:val="22"/>
          <w:szCs w:val="22"/>
        </w:rPr>
        <w:t xml:space="preserve"> measures the quality of a test suite by introducing small, deliberate faults (“mutants”) into the code and checking whether the tests detect them. By presenting these two signals together in a single report, susgrade highlights functions that are both hard to test and poorly tested — the areas of highest risk. This document defines the scope, conventions, and intended audience for the requirements that follow.</w:t>
      </w:r>
    </w:p>
    <w:p>
      <w:pPr>
        <w:pStyle w:val="Heading2"/>
        <w:spacing w:after="90" w:before="240"/>
      </w:pPr>
      <w:r>
        <w:rPr>
          <w:rFonts w:ascii="Calibri" w:cs="Calibri" w:eastAsia="Calibri" w:hAnsi="Calibri"/>
          <w:b/>
          <w:bCs/>
          <w:color w:val="2E2AFF"/>
          <w:sz w:val="24"/>
          <w:szCs w:val="24"/>
        </w:rPr>
        <w:t xml:space="preserve">1.2  </w:t>
      </w:r>
      <w:r>
        <w:rPr>
          <w:rFonts w:ascii="Calibri" w:cs="Calibri" w:eastAsia="Calibri" w:hAnsi="Calibri"/>
          <w:b/>
          <w:bCs/>
          <w:color w:val="14110D"/>
          <w:sz w:val="24"/>
          <w:szCs w:val="24"/>
        </w:rPr>
        <w:t xml:space="preserve">Document Conventions</w:t>
      </w:r>
    </w:p>
    <w:p>
      <w:pPr>
        <w:spacing w:after="140" w:line="276"/>
        <w:jc w:val="both"/>
      </w:pPr>
      <w:r>
        <w:rPr>
          <w:rFonts w:ascii="Calibri" w:cs="Calibri" w:eastAsia="Calibri" w:hAnsi="Calibri"/>
          <w:color w:val="14110D"/>
          <w:sz w:val="22"/>
          <w:szCs w:val="22"/>
        </w:rPr>
        <w:t xml:space="preserve">This document follows the structure recommended by the IEEE 830 standard for software requirements specifications. The following conventions apply throughout:</w:t>
      </w:r>
    </w:p>
    <w:p>
      <w:pPr>
        <w:pStyle w:val="ListParagraph"/>
        <w:numPr>
          <w:ilvl w:val="0"/>
          <w:numId w:val="1"/>
        </w:numPr>
        <w:spacing w:after="70" w:line="270"/>
      </w:pPr>
      <w:r>
        <w:rPr>
          <w:rFonts w:ascii="Calibri" w:cs="Calibri" w:eastAsia="Calibri" w:hAnsi="Calibri"/>
          <w:color w:val="14110D"/>
          <w:sz w:val="22"/>
          <w:szCs w:val="22"/>
        </w:rPr>
        <w:t xml:space="preserve">The keyword </w:t>
      </w:r>
      <w:r>
        <w:rPr>
          <w:rFonts w:ascii="Calibri" w:cs="Calibri" w:eastAsia="Calibri" w:hAnsi="Calibri"/>
          <w:b/>
          <w:bCs/>
          <w:color w:val="14110D"/>
          <w:sz w:val="22"/>
          <w:szCs w:val="22"/>
        </w:rPr>
        <w:t xml:space="preserve">shall</w:t>
      </w:r>
      <w:r>
        <w:rPr>
          <w:rFonts w:ascii="Calibri" w:cs="Calibri" w:eastAsia="Calibri" w:hAnsi="Calibri"/>
          <w:color w:val="14110D"/>
          <w:sz w:val="22"/>
          <w:szCs w:val="22"/>
        </w:rPr>
        <w:t xml:space="preserve"> denotes a mandatory requirement, and </w:t>
      </w:r>
      <w:r>
        <w:rPr>
          <w:rFonts w:ascii="Calibri" w:cs="Calibri" w:eastAsia="Calibri" w:hAnsi="Calibri"/>
          <w:b/>
          <w:bCs/>
          <w:color w:val="14110D"/>
          <w:sz w:val="22"/>
          <w:szCs w:val="22"/>
        </w:rPr>
        <w:t xml:space="preserve">should</w:t>
      </w:r>
      <w:r>
        <w:rPr>
          <w:rFonts w:ascii="Calibri" w:cs="Calibri" w:eastAsia="Calibri" w:hAnsi="Calibri"/>
          <w:color w:val="14110D"/>
          <w:sz w:val="22"/>
          <w:szCs w:val="22"/>
        </w:rPr>
        <w:t xml:space="preserve"> denotes a desirable but non-mandatory feature.</w:t>
      </w:r>
    </w:p>
    <w:p>
      <w:pPr>
        <w:pStyle w:val="ListParagraph"/>
        <w:numPr>
          <w:ilvl w:val="0"/>
          <w:numId w:val="1"/>
        </w:numPr>
        <w:spacing w:after="70" w:line="270"/>
      </w:pPr>
      <w:r>
        <w:rPr>
          <w:rFonts w:ascii="Calibri" w:cs="Calibri" w:eastAsia="Calibri" w:hAnsi="Calibri"/>
          <w:color w:val="14110D"/>
          <w:sz w:val="22"/>
          <w:szCs w:val="22"/>
        </w:rPr>
        <w:t xml:space="preserve">Source code, identifiers, file names, and commands appear in a monospaced font, for example </w:t>
      </w:r>
      <w:r>
        <w:rPr>
          <w:rFonts w:ascii="Consolas" w:cs="Consolas" w:eastAsia="Consolas" w:hAnsi="Consolas"/>
          <w:color w:val="9A2A6B"/>
          <w:sz w:val="21"/>
          <w:szCs w:val="21"/>
        </w:rPr>
        <w:t xml:space="preserve">analyze_source()</w:t>
      </w:r>
      <w:r>
        <w:rPr>
          <w:rFonts w:ascii="Calibri" w:cs="Calibri" w:eastAsia="Calibri" w:hAnsi="Calibri"/>
          <w:color w:val="14110D"/>
          <w:sz w:val="22"/>
          <w:szCs w:val="22"/>
        </w:rPr>
        <w:t xml:space="preserve">.</w:t>
      </w:r>
    </w:p>
    <w:p>
      <w:pPr>
        <w:pStyle w:val="ListParagraph"/>
        <w:numPr>
          <w:ilvl w:val="0"/>
          <w:numId w:val="1"/>
        </w:numPr>
        <w:spacing w:after="70" w:line="270"/>
      </w:pPr>
      <w:r>
        <w:rPr>
          <w:rFonts w:ascii="Calibri" w:cs="Calibri" w:eastAsia="Calibri" w:hAnsi="Calibri"/>
          <w:color w:val="14110D"/>
          <w:sz w:val="22"/>
          <w:szCs w:val="22"/>
        </w:rPr>
        <w:t xml:space="preserve">Cyclomatic complexity values are interpreted using the standard McCabe risk bands: 1–5 (simple), 6–10 (moderate), 11–20 (complex), and 21 or above (very complex).</w:t>
      </w:r>
    </w:p>
    <w:p>
      <w:pPr>
        <w:pStyle w:val="ListParagraph"/>
        <w:numPr>
          <w:ilvl w:val="0"/>
          <w:numId w:val="1"/>
        </w:numPr>
        <w:spacing w:after="70" w:line="270"/>
      </w:pPr>
      <w:r>
        <w:rPr>
          <w:rFonts w:ascii="Calibri" w:cs="Calibri" w:eastAsia="Calibri" w:hAnsi="Calibri"/>
          <w:color w:val="14110D"/>
          <w:sz w:val="22"/>
          <w:szCs w:val="22"/>
        </w:rPr>
        <w:t xml:space="preserve">Where stated, requirement priorities are High, Medium, or Low.</w:t>
      </w:r>
    </w:p>
    <w:p>
      <w:pPr>
        <w:spacing w:after="140" w:line="276"/>
        <w:jc w:val="both"/>
      </w:pPr>
      <w:r>
        <w:rPr>
          <w:rFonts w:ascii="Calibri" w:cs="Calibri" w:eastAsia="Calibri" w:hAnsi="Calibri"/>
          <w:color w:val="14110D"/>
          <w:sz w:val="22"/>
          <w:szCs w:val="22"/>
        </w:rPr>
        <w:t xml:space="preserve">Key terms used in this document are defined below:</w:t>
      </w:r>
    </w:p>
    <w:p>
      <w:pPr>
        <w:pStyle w:val="ListParagraph"/>
        <w:numPr>
          <w:ilvl w:val="0"/>
          <w:numId w:val="1"/>
        </w:numPr>
        <w:spacing w:after="70" w:line="270"/>
      </w:pPr>
      <w:r>
        <w:rPr>
          <w:rFonts w:ascii="Calibri" w:cs="Calibri" w:eastAsia="Calibri" w:hAnsi="Calibri"/>
          <w:b/>
          <w:bCs/>
          <w:color w:val="14110D"/>
          <w:sz w:val="22"/>
          <w:szCs w:val="22"/>
        </w:rPr>
        <w:t xml:space="preserve">Cyclomatic complexity</w:t>
      </w:r>
      <w:r>
        <w:rPr>
          <w:rFonts w:ascii="Calibri" w:cs="Calibri" w:eastAsia="Calibri" w:hAnsi="Calibri"/>
          <w:color w:val="14110D"/>
          <w:sz w:val="22"/>
          <w:szCs w:val="22"/>
        </w:rPr>
        <w:t xml:space="preserve"> — a count of the independent paths through a function; higher values imply that more test cases are needed for full coverage.</w:t>
      </w:r>
    </w:p>
    <w:p>
      <w:pPr>
        <w:pStyle w:val="ListParagraph"/>
        <w:numPr>
          <w:ilvl w:val="0"/>
          <w:numId w:val="1"/>
        </w:numPr>
        <w:spacing w:after="70" w:line="270"/>
      </w:pPr>
      <w:r>
        <w:rPr>
          <w:rFonts w:ascii="Calibri" w:cs="Calibri" w:eastAsia="Calibri" w:hAnsi="Calibri"/>
          <w:b/>
          <w:bCs/>
          <w:color w:val="14110D"/>
          <w:sz w:val="22"/>
          <w:szCs w:val="22"/>
        </w:rPr>
        <w:t xml:space="preserve">Mutant</w:t>
      </w:r>
      <w:r>
        <w:rPr>
          <w:rFonts w:ascii="Calibri" w:cs="Calibri" w:eastAsia="Calibri" w:hAnsi="Calibri"/>
          <w:color w:val="14110D"/>
          <w:sz w:val="22"/>
          <w:szCs w:val="22"/>
        </w:rPr>
        <w:t xml:space="preserve"> — a version of the program with a single small change introduced by the mutation engine.</w:t>
      </w:r>
    </w:p>
    <w:p>
      <w:pPr>
        <w:pStyle w:val="ListParagraph"/>
        <w:numPr>
          <w:ilvl w:val="0"/>
          <w:numId w:val="1"/>
        </w:numPr>
        <w:spacing w:after="70" w:line="270"/>
      </w:pPr>
      <w:r>
        <w:rPr>
          <w:rFonts w:ascii="Calibri" w:cs="Calibri" w:eastAsia="Calibri" w:hAnsi="Calibri"/>
          <w:b/>
          <w:bCs/>
          <w:color w:val="14110D"/>
          <w:sz w:val="22"/>
          <w:szCs w:val="22"/>
        </w:rPr>
        <w:t xml:space="preserve">Killed / surviving mutant</w:t>
      </w:r>
      <w:r>
        <w:rPr>
          <w:rFonts w:ascii="Calibri" w:cs="Calibri" w:eastAsia="Calibri" w:hAnsi="Calibri"/>
          <w:color w:val="14110D"/>
          <w:sz w:val="22"/>
          <w:szCs w:val="22"/>
        </w:rPr>
        <w:t xml:space="preserve"> — a mutant is </w:t>
      </w:r>
      <w:r>
        <w:rPr>
          <w:rFonts w:ascii="Calibri" w:cs="Calibri" w:eastAsia="Calibri" w:hAnsi="Calibri"/>
          <w:i/>
          <w:iCs/>
          <w:color w:val="14110D"/>
          <w:sz w:val="22"/>
          <w:szCs w:val="22"/>
        </w:rPr>
        <w:t xml:space="preserve">killed</w:t>
      </w:r>
      <w:r>
        <w:rPr>
          <w:rFonts w:ascii="Calibri" w:cs="Calibri" w:eastAsia="Calibri" w:hAnsi="Calibri"/>
          <w:color w:val="14110D"/>
          <w:sz w:val="22"/>
          <w:szCs w:val="22"/>
        </w:rPr>
        <w:t xml:space="preserve"> if at least one test fails when run against it, and </w:t>
      </w:r>
      <w:r>
        <w:rPr>
          <w:rFonts w:ascii="Calibri" w:cs="Calibri" w:eastAsia="Calibri" w:hAnsi="Calibri"/>
          <w:i/>
          <w:iCs/>
          <w:color w:val="14110D"/>
          <w:sz w:val="22"/>
          <w:szCs w:val="22"/>
        </w:rPr>
        <w:t xml:space="preserve">survives</w:t>
      </w:r>
      <w:r>
        <w:rPr>
          <w:rFonts w:ascii="Calibri" w:cs="Calibri" w:eastAsia="Calibri" w:hAnsi="Calibri"/>
          <w:color w:val="14110D"/>
          <w:sz w:val="22"/>
          <w:szCs w:val="22"/>
        </w:rPr>
        <w:t xml:space="preserve"> if every test still passes.</w:t>
      </w:r>
    </w:p>
    <w:p>
      <w:pPr>
        <w:pStyle w:val="ListParagraph"/>
        <w:numPr>
          <w:ilvl w:val="0"/>
          <w:numId w:val="1"/>
        </w:numPr>
        <w:spacing w:after="70" w:line="270"/>
      </w:pPr>
      <w:r>
        <w:rPr>
          <w:rFonts w:ascii="Calibri" w:cs="Calibri" w:eastAsia="Calibri" w:hAnsi="Calibri"/>
          <w:b/>
          <w:bCs/>
          <w:color w:val="14110D"/>
          <w:sz w:val="22"/>
          <w:szCs w:val="22"/>
        </w:rPr>
        <w:t xml:space="preserve">Mutation score</w:t>
      </w:r>
      <w:r>
        <w:rPr>
          <w:rFonts w:ascii="Calibri" w:cs="Calibri" w:eastAsia="Calibri" w:hAnsi="Calibri"/>
          <w:color w:val="14110D"/>
          <w:sz w:val="22"/>
          <w:szCs w:val="22"/>
        </w:rPr>
        <w:t xml:space="preserve"> — the percentage of generated mutants that the test suite kills; a higher score indicates a stronger suite.</w:t>
      </w:r>
    </w:p>
    <w:p>
      <w:pPr>
        <w:pStyle w:val="ListParagraph"/>
        <w:numPr>
          <w:ilvl w:val="0"/>
          <w:numId w:val="1"/>
        </w:numPr>
        <w:spacing w:after="70" w:line="270"/>
      </w:pPr>
      <w:r>
        <w:rPr>
          <w:rFonts w:ascii="Calibri" w:cs="Calibri" w:eastAsia="Calibri" w:hAnsi="Calibri"/>
          <w:b/>
          <w:bCs/>
          <w:color w:val="14110D"/>
          <w:sz w:val="22"/>
          <w:szCs w:val="22"/>
        </w:rPr>
        <w:t xml:space="preserve">Abstract Syntax Tree (AST)</w:t>
      </w:r>
      <w:r>
        <w:rPr>
          <w:rFonts w:ascii="Calibri" w:cs="Calibri" w:eastAsia="Calibri" w:hAnsi="Calibri"/>
          <w:color w:val="14110D"/>
          <w:sz w:val="22"/>
          <w:szCs w:val="22"/>
        </w:rPr>
        <w:t xml:space="preserve"> — the structured, tree representation of source code that susgrade analyses instead of raw text, giving accurate and reliable results.</w:t>
      </w:r>
    </w:p>
    <w:p>
      <w:pPr>
        <w:pStyle w:val="Heading2"/>
        <w:spacing w:after="90" w:before="240"/>
      </w:pPr>
      <w:r>
        <w:rPr>
          <w:rFonts w:ascii="Calibri" w:cs="Calibri" w:eastAsia="Calibri" w:hAnsi="Calibri"/>
          <w:b/>
          <w:bCs/>
          <w:color w:val="2E2AFF"/>
          <w:sz w:val="24"/>
          <w:szCs w:val="24"/>
        </w:rPr>
        <w:t xml:space="preserve">1.3  </w:t>
      </w:r>
      <w:r>
        <w:rPr>
          <w:rFonts w:ascii="Calibri" w:cs="Calibri" w:eastAsia="Calibri" w:hAnsi="Calibri"/>
          <w:b/>
          <w:bCs/>
          <w:color w:val="14110D"/>
          <w:sz w:val="24"/>
          <w:szCs w:val="24"/>
        </w:rPr>
        <w:t xml:space="preserve">Intended Audience and Reading Suggestions</w:t>
      </w:r>
    </w:p>
    <w:p>
      <w:pPr>
        <w:spacing w:after="140" w:line="276"/>
        <w:jc w:val="both"/>
      </w:pPr>
      <w:r>
        <w:rPr>
          <w:rFonts w:ascii="Calibri" w:cs="Calibri" w:eastAsia="Calibri" w:hAnsi="Calibri"/>
          <w:color w:val="14110D"/>
          <w:sz w:val="22"/>
          <w:szCs w:val="22"/>
        </w:rPr>
        <w:t xml:space="preserve">This SRS is intended for the following readers:</w:t>
      </w:r>
    </w:p>
    <w:p>
      <w:pPr>
        <w:pStyle w:val="ListParagraph"/>
        <w:numPr>
          <w:ilvl w:val="0"/>
          <w:numId w:val="1"/>
        </w:numPr>
        <w:spacing w:after="70" w:line="270"/>
      </w:pPr>
      <w:r>
        <w:rPr>
          <w:rFonts w:ascii="Calibri" w:cs="Calibri" w:eastAsia="Calibri" w:hAnsi="Calibri"/>
          <w:b/>
          <w:bCs/>
          <w:color w:val="14110D"/>
          <w:sz w:val="22"/>
          <w:szCs w:val="22"/>
        </w:rPr>
        <w:t xml:space="preserve">Developers and students (primary users)</w:t>
      </w:r>
      <w:r>
        <w:rPr>
          <w:rFonts w:ascii="Calibri" w:cs="Calibri" w:eastAsia="Calibri" w:hAnsi="Calibri"/>
          <w:color w:val="14110D"/>
          <w:sz w:val="22"/>
          <w:szCs w:val="22"/>
        </w:rPr>
        <w:t xml:space="preserve"> who will run susgrade on their own Python projects to assess and improve their tests.</w:t>
      </w:r>
    </w:p>
    <w:p>
      <w:pPr>
        <w:pStyle w:val="ListParagraph"/>
        <w:numPr>
          <w:ilvl w:val="0"/>
          <w:numId w:val="1"/>
        </w:numPr>
        <w:spacing w:after="70" w:line="270"/>
      </w:pPr>
      <w:r>
        <w:rPr>
          <w:rFonts w:ascii="Calibri" w:cs="Calibri" w:eastAsia="Calibri" w:hAnsi="Calibri"/>
          <w:b/>
          <w:bCs/>
          <w:color w:val="14110D"/>
          <w:sz w:val="22"/>
          <w:szCs w:val="22"/>
        </w:rPr>
        <w:t xml:space="preserve">The course instructor and evaluators</w:t>
      </w:r>
      <w:r>
        <w:rPr>
          <w:rFonts w:ascii="Calibri" w:cs="Calibri" w:eastAsia="Calibri" w:hAnsi="Calibri"/>
          <w:color w:val="14110D"/>
          <w:sz w:val="22"/>
          <w:szCs w:val="22"/>
        </w:rPr>
        <w:t xml:space="preserve"> for CSE4149 (Software Verification and Testing), who will assess the project against its stated requirements.</w:t>
      </w:r>
    </w:p>
    <w:p>
      <w:pPr>
        <w:pStyle w:val="ListParagraph"/>
        <w:numPr>
          <w:ilvl w:val="0"/>
          <w:numId w:val="1"/>
        </w:numPr>
        <w:spacing w:after="70" w:line="270"/>
      </w:pPr>
      <w:r>
        <w:rPr>
          <w:rFonts w:ascii="Calibri" w:cs="Calibri" w:eastAsia="Calibri" w:hAnsi="Calibri"/>
          <w:b/>
          <w:bCs/>
          <w:color w:val="14110D"/>
          <w:sz w:val="22"/>
          <w:szCs w:val="22"/>
        </w:rPr>
        <w:t xml:space="preserve">The project team and future contributors</w:t>
      </w:r>
      <w:r>
        <w:rPr>
          <w:rFonts w:ascii="Calibri" w:cs="Calibri" w:eastAsia="Calibri" w:hAnsi="Calibri"/>
          <w:color w:val="14110D"/>
          <w:sz w:val="22"/>
          <w:szCs w:val="22"/>
        </w:rPr>
        <w:t xml:space="preserve"> who will design, implement, and extend the tool across its planned sprints.</w:t>
      </w:r>
    </w:p>
    <w:p>
      <w:pPr>
        <w:pStyle w:val="ListParagraph"/>
        <w:numPr>
          <w:ilvl w:val="0"/>
          <w:numId w:val="1"/>
        </w:numPr>
        <w:spacing w:after="70" w:line="270"/>
      </w:pPr>
      <w:r>
        <w:rPr>
          <w:rFonts w:ascii="Calibri" w:cs="Calibri" w:eastAsia="Calibri" w:hAnsi="Calibri"/>
          <w:b/>
          <w:bCs/>
          <w:color w:val="14110D"/>
          <w:sz w:val="22"/>
          <w:szCs w:val="22"/>
        </w:rPr>
        <w:t xml:space="preserve">Quality-assurance engineers</w:t>
      </w:r>
      <w:r>
        <w:rPr>
          <w:rFonts w:ascii="Calibri" w:cs="Calibri" w:eastAsia="Calibri" w:hAnsi="Calibri"/>
          <w:color w:val="14110D"/>
          <w:sz w:val="22"/>
          <w:szCs w:val="22"/>
        </w:rPr>
        <w:t xml:space="preserve"> interested in lightweight, single-developer test-effectiveness analysis.</w:t>
      </w:r>
    </w:p>
    <w:p>
      <w:pPr>
        <w:spacing w:after="140" w:line="276"/>
        <w:jc w:val="both"/>
      </w:pPr>
      <w:r>
        <w:rPr>
          <w:rFonts w:ascii="Calibri" w:cs="Calibri" w:eastAsia="Calibri" w:hAnsi="Calibri"/>
          <w:color w:val="14110D"/>
          <w:sz w:val="22"/>
          <w:szCs w:val="22"/>
        </w:rPr>
        <w:t xml:space="preserve">Readers new to the project should begin with this Introduction to understand the purpose and scope. Readers primarily interested in what the tool does may focus on Section 1.4 (Project Scope). Developers and evaluators should then continue to the functional and non-functional requirements in the subsequent sections.</w:t>
      </w:r>
    </w:p>
    <w:p>
      <w:pPr>
        <w:pStyle w:val="Heading2"/>
        <w:spacing w:after="90" w:before="240"/>
      </w:pPr>
      <w:r>
        <w:rPr>
          <w:rFonts w:ascii="Calibri" w:cs="Calibri" w:eastAsia="Calibri" w:hAnsi="Calibri"/>
          <w:b/>
          <w:bCs/>
          <w:color w:val="2E2AFF"/>
          <w:sz w:val="24"/>
          <w:szCs w:val="24"/>
        </w:rPr>
        <w:t xml:space="preserve">1.4  </w:t>
      </w:r>
      <w:r>
        <w:rPr>
          <w:rFonts w:ascii="Calibri" w:cs="Calibri" w:eastAsia="Calibri" w:hAnsi="Calibri"/>
          <w:b/>
          <w:bCs/>
          <w:color w:val="14110D"/>
          <w:sz w:val="24"/>
          <w:szCs w:val="24"/>
        </w:rPr>
        <w:t xml:space="preserve">Project Scope</w:t>
      </w:r>
    </w:p>
    <w:p>
      <w:pPr>
        <w:spacing w:after="140" w:line="276"/>
        <w:jc w:val="both"/>
      </w:pPr>
      <w:r>
        <w:rPr>
          <w:rFonts w:ascii="Calibri" w:cs="Calibri" w:eastAsia="Calibri" w:hAnsi="Calibri"/>
          <w:color w:val="14110D"/>
          <w:sz w:val="22"/>
          <w:szCs w:val="22"/>
        </w:rPr>
        <w:t xml:space="preserve">susgrade is a self-contained web application that analyses Python source code and reports its test-effectiveness. For a submitted file or project, the tool computes the cyclomatic complexity of every function, runs mutation testing against the accompanying test suite, and combines the two into a single risk report that ranks functions by how complex and how poorly tested they are.</w:t>
      </w:r>
    </w:p>
    <w:p>
      <w:pPr>
        <w:spacing w:after="140" w:line="276"/>
        <w:jc w:val="both"/>
      </w:pPr>
      <w:r>
        <w:rPr>
          <w:rFonts w:ascii="Calibri" w:cs="Calibri" w:eastAsia="Calibri" w:hAnsi="Calibri"/>
          <w:color w:val="14110D"/>
          <w:sz w:val="22"/>
          <w:szCs w:val="22"/>
        </w:rPr>
        <w:t xml:space="preserve">In its first version, mutation testing is limited to the Python language, where susgrade operates directly on Python’s abstract syntax tree for accuracy. Cyclomatic complexity is designed to extend across multiple languages using a </w:t>
      </w:r>
      <w:r>
        <w:rPr>
          <w:rFonts w:ascii="Calibri" w:cs="Calibri" w:eastAsia="Calibri" w:hAnsi="Calibri"/>
          <w:b/>
          <w:bCs/>
          <w:color w:val="14110D"/>
          <w:sz w:val="22"/>
          <w:szCs w:val="22"/>
        </w:rPr>
        <w:t xml:space="preserve">Tree-sitter</w:t>
      </w:r>
      <w:r>
        <w:rPr>
          <w:rFonts w:ascii="Calibri" w:cs="Calibri" w:eastAsia="Calibri" w:hAnsi="Calibri"/>
          <w:color w:val="14110D"/>
          <w:sz w:val="22"/>
          <w:szCs w:val="22"/>
        </w:rPr>
        <w:t xml:space="preserve"> based parser, with Python supported first. Mutant execution is performed in a sandboxed environment so that untrusted code can be analysed safely.</w:t>
      </w:r>
    </w:p>
    <w:p>
      <w:pPr>
        <w:spacing w:after="140" w:line="276"/>
        <w:jc w:val="both"/>
      </w:pPr>
      <w:r>
        <w:rPr>
          <w:rFonts w:ascii="Calibri" w:cs="Calibri" w:eastAsia="Calibri" w:hAnsi="Calibri"/>
          <w:color w:val="14110D"/>
          <w:sz w:val="22"/>
          <w:szCs w:val="22"/>
        </w:rPr>
        <w:t xml:space="preserve">The central objective is usability: to make test-effectiveness analysis simple enough for a developer with limited testing experience to run single-handedly, while keeping the underlying metrics valid and consistent with their established definitions. By surfacing risk clearly and early, susgrade aims to help developers write more meaningful tests, reduce the chance of undetected defects, and build confidence in their code.</w:t>
      </w:r>
    </w:p>
    <w:p>
      <w:pPr>
        <w:spacing w:after="140" w:line="276"/>
        <w:jc w:val="both"/>
      </w:pPr>
      <w:r>
        <w:rPr>
          <w:rFonts w:ascii="Calibri" w:cs="Calibri" w:eastAsia="Calibri" w:hAnsi="Calibri"/>
          <w:color w:val="14110D"/>
          <w:sz w:val="22"/>
          <w:szCs w:val="22"/>
        </w:rPr>
        <w:t xml:space="preserve">The following are outside the scope of version 1.0: mutation testing for languages other than Python, integration with external continuous-integration systems, and the automatic generation of new test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AC0" w:sz="4"/>
      </w:pBdr>
      <w:tabs>
        <w:tab w:val="right" w:pos="9360"/>
      </w:tabs>
    </w:pPr>
    <w:r>
      <w:rPr>
        <w:rFonts w:ascii="Calibri" w:cs="Calibri" w:eastAsia="Calibri" w:hAnsi="Calibri"/>
        <w:color w:val="555049"/>
        <w:sz w:val="17"/>
        <w:szCs w:val="17"/>
      </w:rPr>
      <w:t xml:space="preserve">Aman Behera · Bhomik Jain</w:t>
    </w:r>
    <w:r>
      <w:rPr>
        <w:rFonts w:ascii="Calibri" w:cs="Calibri" w:eastAsia="Calibri" w:hAnsi="Calibri"/>
      </w:rPr>
      <w:t xml:space="preserve">	</w:t>
    </w:r>
    <w:r>
      <w:rPr>
        <w:rFonts w:ascii="Calibri" w:cs="Calibri" w:eastAsia="Calibri" w:hAnsi="Calibri"/>
        <w:color w:val="55504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AC0" w:sz="4"/>
      </w:pBdr>
    </w:pPr>
    <w:r>
      <w:rPr>
        <w:rFonts w:ascii="Calibri" w:cs="Calibri" w:eastAsia="Calibri" w:hAnsi="Calibri"/>
        <w:b/>
        <w:bCs/>
        <w:color w:val="2E2AFF"/>
        <w:sz w:val="18"/>
        <w:szCs w:val="18"/>
      </w:rPr>
      <w:t xml:space="preserve">/</w:t>
    </w:r>
    <w:r>
      <w:rPr>
        <w:rFonts w:ascii="Calibri" w:cs="Calibri" w:eastAsia="Calibri" w:hAnsi="Calibri"/>
        <w:b/>
        <w:bCs/>
        <w:color w:val="14110D"/>
        <w:sz w:val="18"/>
        <w:szCs w:val="18"/>
      </w:rPr>
      <w:t xml:space="preserve">susgrade</w:t>
    </w:r>
    <w:r>
      <w:rPr>
        <w:rFonts w:ascii="Calibri" w:cs="Calibri" w:eastAsia="Calibri" w:hAnsi="Calibri"/>
        <w:color w:val="555049"/>
        <w:sz w:val="18"/>
        <w:szCs w:val="18"/>
      </w:rPr>
      <w:t xml:space="preserv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1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susgrade — Software Requirements Specification</dc:title>
  <dc:creator>Aman Behera &amp; Bhomik Jain</dc:creator>
  <cp:lastModifiedBy>Un-named</cp:lastModifiedBy>
  <cp:revision>1</cp:revision>
  <dcterms:created xsi:type="dcterms:W3CDTF">2026-08-08T22:52:07.497Z</dcterms:created>
  <dcterms:modified xsi:type="dcterms:W3CDTF">2026-08-08T22:52:07.516Z</dcterms:modified>
</cp:coreProperties>
</file>

<file path=docProps/custom.xml><?xml version="1.0" encoding="utf-8"?>
<Properties xmlns="http://schemas.openxmlformats.org/officeDocument/2006/custom-properties" xmlns:vt="http://schemas.openxmlformats.org/officeDocument/2006/docPropsVTypes"/>
</file>