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Plan: Provider-Agnostic AI Infrastructure</w:t>
      </w:r>
    </w:p>
    <w:p>
      <w:r>
        <w:rPr>
          <w:i/>
          <w:sz w:val="22"/>
        </w:rPr>
        <w:t>Foundation layer for the AI Council, AI Orchestrator, job-search automation, and future integrations</w:t>
      </w:r>
    </w:p>
    <w:p>
      <w:r>
        <w:rPr>
          <w:b/>
        </w:rPr>
        <w:t xml:space="preserve">Working rule: </w:t>
      </w:r>
      <w:r>
        <w:t>Prefer a small finished vertical slice over speculative infrastructure. Use the detailed phase prompts with Codex; update the plan only when evidence changes the design.</w:t>
      </w:r>
    </w:p>
    <w:p>
      <w:pPr>
        <w:pStyle w:val="Heading1"/>
      </w:pPr>
      <w:r>
        <w:t>1. Purpose and success condition</w:t>
      </w:r>
    </w:p>
    <w:p>
      <w:r>
        <w:t>Build a small internal AI interface/adapter layer, not a competing AI aggregator. External gateways such as Requesty are backends behind the same interface. Success means one small application can switch between local Ollama, an aggregator, and one direct hosted provider by configuration alone, without changing application logic.</w:t>
      </w:r>
    </w:p>
    <w:p>
      <w:r>
        <w:t>North-star outcome: applications depend on one internal AI interface while the underlying inference backend can change by configuration. Local inference remains a first-class privacy option.</w:t>
      </w:r>
    </w:p>
    <w:p>
      <w:pPr>
        <w:pStyle w:val="Heading1"/>
      </w:pPr>
      <w:r>
        <w:t>2. Scope boundary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464"/>
            <w:shd w:fill="D9EAF7"/>
            <w:tcMar>
              <w:top w:w="90" w:type="dxa"/>
              <w:start w:w="110" w:type="dxa"/>
              <w:bottom w:w="90" w:type="dxa"/>
              <w:end w:w="110" w:type="dxa"/>
            </w:tcMar>
            <w:vAlign w:val="center"/>
          </w:tcPr>
          <w:p>
            <w:r>
              <w:rPr>
                <w:b/>
              </w:rPr>
              <w:t>Build in this project</w:t>
            </w:r>
          </w:p>
        </w:tc>
        <w:tc>
          <w:tcPr>
            <w:tcW w:type="dxa" w:w="4464"/>
            <w:shd w:fill="D9EAF7"/>
            <w:tcMar>
              <w:top w:w="90" w:type="dxa"/>
              <w:start w:w="110" w:type="dxa"/>
              <w:bottom w:w="90" w:type="dxa"/>
              <w:end w:w="110" w:type="dxa"/>
            </w:tcMar>
            <w:vAlign w:val="center"/>
          </w:tcPr>
          <w:p>
            <w:r>
              <w:rPr>
                <w:b/>
              </w:rPr>
              <w:t>Do not build here</w:t>
            </w:r>
          </w:p>
        </w:tc>
      </w:tr>
      <w:tr>
        <w:tc>
          <w:tcPr>
            <w:tcW w:type="dxa" w:w="4464"/>
            <w:tcMar>
              <w:top w:w="90" w:type="dxa"/>
              <w:start w:w="110" w:type="dxa"/>
              <w:bottom w:w="90" w:type="dxa"/>
              <w:end w:w="110" w:type="dxa"/>
            </w:tcMar>
            <w:vAlign w:val="top"/>
          </w:tcPr>
          <w:p>
            <w:r>
              <w:t>Common request/response contract</w:t>
            </w:r>
          </w:p>
        </w:tc>
        <w:tc>
          <w:tcPr>
            <w:tcW w:type="dxa" w:w="4464"/>
            <w:tcMar>
              <w:top w:w="90" w:type="dxa"/>
              <w:start w:w="110" w:type="dxa"/>
              <w:bottom w:w="90" w:type="dxa"/>
              <w:end w:w="110" w:type="dxa"/>
            </w:tcMar>
            <w:vAlign w:val="top"/>
          </w:tcPr>
          <w:p>
            <w:r>
              <w:t>Prompt judging or refinement</w:t>
            </w:r>
          </w:p>
        </w:tc>
      </w:tr>
      <w:tr>
        <w:tc>
          <w:tcPr>
            <w:tcW w:type="dxa" w:w="4464"/>
            <w:tcMar>
              <w:top w:w="90" w:type="dxa"/>
              <w:start w:w="110" w:type="dxa"/>
              <w:bottom w:w="90" w:type="dxa"/>
              <w:end w:w="110" w:type="dxa"/>
            </w:tcMar>
            <w:vAlign w:val="top"/>
          </w:tcPr>
          <w:p>
            <w:r>
              <w:t>Provider adapters</w:t>
            </w:r>
          </w:p>
        </w:tc>
        <w:tc>
          <w:tcPr>
            <w:tcW w:type="dxa" w:w="4464"/>
            <w:tcMar>
              <w:top w:w="90" w:type="dxa"/>
              <w:start w:w="110" w:type="dxa"/>
              <w:bottom w:w="90" w:type="dxa"/>
              <w:end w:w="110" w:type="dxa"/>
            </w:tcMar>
            <w:vAlign w:val="top"/>
          </w:tcPr>
          <w:p>
            <w:r>
              <w:t>Model selection policy</w:t>
            </w:r>
          </w:p>
        </w:tc>
      </w:tr>
      <w:tr>
        <w:tc>
          <w:tcPr>
            <w:tcW w:type="dxa" w:w="4464"/>
            <w:tcMar>
              <w:top w:w="90" w:type="dxa"/>
              <w:start w:w="110" w:type="dxa"/>
              <w:bottom w:w="90" w:type="dxa"/>
              <w:end w:w="110" w:type="dxa"/>
            </w:tcMar>
            <w:vAlign w:val="top"/>
          </w:tcPr>
          <w:p>
            <w:r>
              <w:t>Capability and usage metadata</w:t>
            </w:r>
          </w:p>
        </w:tc>
        <w:tc>
          <w:tcPr>
            <w:tcW w:type="dxa" w:w="4464"/>
            <w:tcMar>
              <w:top w:w="90" w:type="dxa"/>
              <w:start w:w="110" w:type="dxa"/>
              <w:bottom w:w="90" w:type="dxa"/>
              <w:end w:w="110" w:type="dxa"/>
            </w:tcMar>
            <w:vAlign w:val="top"/>
          </w:tcPr>
          <w:p>
            <w:r>
              <w:t>Budget/quota policy</w:t>
            </w:r>
          </w:p>
        </w:tc>
      </w:tr>
      <w:tr>
        <w:tc>
          <w:tcPr>
            <w:tcW w:type="dxa" w:w="4464"/>
            <w:tcMar>
              <w:top w:w="90" w:type="dxa"/>
              <w:start w:w="110" w:type="dxa"/>
              <w:bottom w:w="90" w:type="dxa"/>
              <w:end w:w="110" w:type="dxa"/>
            </w:tcMar>
            <w:vAlign w:val="top"/>
          </w:tcPr>
          <w:p>
            <w:r>
              <w:t>Provider-specific error normalization</w:t>
            </w:r>
          </w:p>
        </w:tc>
        <w:tc>
          <w:tcPr>
            <w:tcW w:type="dxa" w:w="4464"/>
            <w:tcMar>
              <w:top w:w="90" w:type="dxa"/>
              <w:start w:w="110" w:type="dxa"/>
              <w:bottom w:w="90" w:type="dxa"/>
              <w:end w:w="110" w:type="dxa"/>
            </w:tcMar>
            <w:vAlign w:val="top"/>
          </w:tcPr>
          <w:p>
            <w:r>
              <w:t>Council synthesis</w:t>
            </w:r>
          </w:p>
        </w:tc>
      </w:tr>
      <w:tr>
        <w:tc>
          <w:tcPr>
            <w:tcW w:type="dxa" w:w="4464"/>
            <w:tcMar>
              <w:top w:w="90" w:type="dxa"/>
              <w:start w:w="110" w:type="dxa"/>
              <w:bottom w:w="90" w:type="dxa"/>
              <w:end w:w="110" w:type="dxa"/>
            </w:tcMar>
            <w:vAlign w:val="top"/>
          </w:tcPr>
          <w:p>
            <w:r>
              <w:t>Configuration and secrets handling</w:t>
            </w:r>
          </w:p>
        </w:tc>
        <w:tc>
          <w:tcPr>
            <w:tcW w:type="dxa" w:w="4464"/>
            <w:tcMar>
              <w:top w:w="90" w:type="dxa"/>
              <w:start w:w="110" w:type="dxa"/>
              <w:bottom w:w="90" w:type="dxa"/>
              <w:end w:w="110" w:type="dxa"/>
            </w:tcMar>
            <w:vAlign w:val="top"/>
          </w:tcPr>
          <w:p>
            <w:r>
              <w:t>Job-search logic</w:t>
            </w:r>
          </w:p>
        </w:tc>
      </w:tr>
      <w:tr>
        <w:tc>
          <w:tcPr>
            <w:tcW w:type="dxa" w:w="4464"/>
            <w:tcMar>
              <w:top w:w="90" w:type="dxa"/>
              <w:start w:w="110" w:type="dxa"/>
              <w:bottom w:w="90" w:type="dxa"/>
              <w:end w:w="110" w:type="dxa"/>
            </w:tcMar>
            <w:vAlign w:val="top"/>
          </w:tcPr>
          <w:p>
            <w:r>
              <w:t>Basic routing visibility and observability</w:t>
            </w:r>
          </w:p>
        </w:tc>
        <w:tc>
          <w:tcPr>
            <w:tcW w:type="dxa" w:w="4464"/>
            <w:tcMar>
              <w:top w:w="90" w:type="dxa"/>
              <w:start w:w="110" w:type="dxa"/>
              <w:bottom w:w="90" w:type="dxa"/>
              <w:end w:w="110" w:type="dxa"/>
            </w:tcMar>
            <w:vAlign w:val="top"/>
          </w:tcPr>
          <w:p>
            <w:r>
              <w:t>Autonomous agent framework</w:t>
            </w:r>
          </w:p>
        </w:tc>
      </w:tr>
    </w:tbl>
    <w:p>
      <w:pPr>
        <w:pStyle w:val="Heading1"/>
      </w:pPr>
      <w:r>
        <w:t>3. Core design rules</w:t>
      </w:r>
    </w:p>
    <w:p>
      <w:pPr>
        <w:pStyle w:val="ListBullet"/>
      </w:pPr>
      <w:r>
        <w:t>Application code must not contain provider-specific API calls.</w:t>
      </w:r>
    </w:p>
    <w:p>
      <w:pPr>
        <w:pStyle w:val="ListBullet"/>
      </w:pPr>
      <w:r>
        <w:t>Backend/model selection is configuration or an explicit orchestration decision, not application-level branching.</w:t>
      </w:r>
    </w:p>
    <w:p>
      <w:pPr>
        <w:pStyle w:val="ListBullet"/>
      </w:pPr>
      <w:r>
        <w:t>Capabilities must be explicit. Do not pretend every backend supports every feature.</w:t>
      </w:r>
    </w:p>
    <w:p>
      <w:pPr>
        <w:pStyle w:val="ListBullet"/>
      </w:pPr>
      <w:r>
        <w:t>Retain provider/model identifiers and raw metadata alongside normalized results where practical.</w:t>
      </w:r>
    </w:p>
    <w:p>
      <w:pPr>
        <w:pStyle w:val="ListBullet"/>
      </w:pPr>
      <w:r>
        <w:t>Usage numbers must be labelled as provider-reported or estimated.</w:t>
      </w:r>
    </w:p>
    <w:p>
      <w:pPr>
        <w:pStyle w:val="ListBullet"/>
      </w:pPr>
      <w:r>
        <w:t>Local/cloud routing must remain visible for privacy-sensitive workflows.</w:t>
      </w:r>
    </w:p>
    <w:p>
      <w:pPr>
        <w:pStyle w:val="ListBullet"/>
      </w:pPr>
      <w:r>
        <w:t>Keep the interface small. Add a capability only when a real consumer needs it.</w:t>
      </w:r>
    </w:p>
    <w:p>
      <w:pPr>
        <w:pStyle w:val="ListBullet"/>
      </w:pPr>
      <w:r>
        <w:t>Allow direct provider calls as a fallback path; the aggregator must not become a single point of failure.</w:t>
      </w:r>
    </w:p>
    <w:p>
      <w:pPr>
        <w:pStyle w:val="Heading1"/>
      </w:pPr>
      <w:r>
        <w:t>4. Phases</w:t>
      </w:r>
    </w:p>
    <w:p>
      <w:pPr>
        <w:pStyle w:val="Heading2"/>
      </w:pPr>
      <w:r>
        <w:t>Phase 1 — Define the common contract</w:t>
      </w:r>
    </w:p>
    <w:p>
      <w:r>
        <w:t>Goal: define only the operations required by the first consumers: Council, Orchestrator prototype, and a small test client.</w:t>
      </w:r>
    </w:p>
    <w:p>
      <w:r>
        <w:t>Definition of done: one-page interface spec + capability matrix + configuration format; another developer/AI can understand the boundary without reading implementation code.</w:t>
      </w:r>
    </w:p>
    <w:p>
      <w:r>
        <w:t>Stop condition: do not design for enterprise multi-tenancy, billing, provider discovery, agents, or every possible API capability.</w:t>
      </w:r>
    </w:p>
    <w:p>
      <w:pPr>
        <w:pStyle w:val="Heading2"/>
      </w:pPr>
      <w:r>
        <w:t>Codex prompt — Phase 1</w:t>
      </w:r>
    </w:p>
    <w:p>
      <w:pPr>
        <w:keepLines/>
        <w:spacing w:before="40" w:after="120"/>
        <w:ind w:left="115" w:right="115"/>
        <w:shd w:fill="F4F6F7"/>
      </w:pPr>
      <w:r>
        <w:rPr>
          <w:rFonts w:ascii="Aptos Mono" w:hAnsi="Aptos Mono"/>
          <w:sz w:val="18"/>
        </w:rPr>
        <w:t>You are helping me design a provider-agnostic AI interface. Do NOT write implementation code yet.</w:t>
        <w:br/>
        <w:t>Context:</w:t>
        <w:br/>
        <w:t>- Consumers will include an AI Council, an AI Orchestrator, and later a job-search automation system.</w:t>
        <w:br/>
        <w:t>- Backends must include local Ollama, an aggregator such as Requesty, and at least one direct hosted provider.</w:t>
        <w:br/>
        <w:t>- Applications must not contain provider-specific logic.</w:t>
        <w:br/>
        <w:t>Task:</w:t>
        <w:br/>
        <w:t>1. Propose the smallest useful common contract for chat/completion-style requests.</w:t>
        <w:br/>
        <w:t>2. Separate required capabilities from optional capabilities.</w:t>
        <w:br/>
        <w:t>3. Define normalized response, error, model metadata, and usage metadata concepts.</w:t>
        <w:br/>
        <w:t>4. Identify provider-specific features that must remain capability-gated rather than forced into the common interface.</w:t>
        <w:br/>
        <w:t>5. Produce a concise interface specification and a capability matrix.</w:t>
        <w:br/>
        <w:t>6. Explicitly list what should NOT be added yet.</w:t>
        <w:br/>
        <w:t>Optimize for simplicity and future compatibility with an Orchestrator. Do not invent provider capabilities that have not been verified.</w:t>
      </w:r>
    </w:p>
    <w:p>
      <w:pPr>
        <w:pStyle w:val="Heading2"/>
      </w:pPr>
      <w:r>
        <w:t>Phase 2 — Implement the first adapters</w:t>
      </w:r>
    </w:p>
    <w:p>
      <w:r>
        <w:t>Goal: make the same test task execute through Ollama, Requesty, and one direct provider.</w:t>
      </w:r>
    </w:p>
    <w:p>
      <w:r>
        <w:t>[ ] Implement the common interface and the three adapters.</w:t>
      </w:r>
    </w:p>
    <w:p>
      <w:r>
        <w:t>[ ] Normalize successful responses without destroying useful provider metadata.</w:t>
      </w:r>
    </w:p>
    <w:p>
      <w:r>
        <w:t>[ ] Normalize common errors enough for callers to distinguish retryable vs non-retryable failures.</w:t>
      </w:r>
    </w:p>
    <w:p>
      <w:r>
        <w:t>[ ] Allow provider/model selection through configuration.</w:t>
      </w:r>
    </w:p>
    <w:p>
      <w:r>
        <w:t>[ ] Create a small compatibility test suite that runs the same requests against every available backend.</w:t>
      </w:r>
    </w:p>
    <w:p>
      <w:r>
        <w:t>Definition of done: the same test client can switch backend/model by configuration only and the application code remains unchanged.</w:t>
      </w:r>
    </w:p>
    <w:p>
      <w:pPr>
        <w:pStyle w:val="Heading2"/>
      </w:pPr>
      <w:r>
        <w:t>Codex prompt — Phase 2</w:t>
      </w:r>
    </w:p>
    <w:p>
      <w:pPr>
        <w:keepLines/>
        <w:spacing w:before="40" w:after="120"/>
        <w:ind w:left="115" w:right="115"/>
        <w:shd w:fill="F4F6F7"/>
      </w:pPr>
      <w:r>
        <w:rPr>
          <w:rFonts w:ascii="Aptos Mono" w:hAnsi="Aptos Mono"/>
          <w:sz w:val="18"/>
        </w:rPr>
        <w:t>Implement the provider layer described below. Work incrementally and keep the interface small.</w:t>
        <w:br/>
        <w:t>Requirements:</w:t>
        <w:br/>
        <w:t>- Backends: Ollama, Requesty-compatible gateway, and one direct hosted provider.</w:t>
        <w:br/>
        <w:t>- Application code must depend only on our internal interface.</w:t>
        <w:br/>
        <w:t>- Provider/model selection must come from configuration.</w:t>
        <w:br/>
        <w:t>- Normalize response and common error metadata, while retaining provider-specific metadata where useful.</w:t>
        <w:br/>
        <w:t>- Add focused tests proving the same request can run through each backend.</w:t>
        <w:br/>
        <w:t>Before coding, inspect the existing repository and propose the smallest file/module structure. Then implement only what is necessary for the compatibility tests. Avoid speculative abstractions, agent frameworks, databases, or routing policy.</w:t>
      </w:r>
    </w:p>
    <w:p>
      <w:pPr>
        <w:pStyle w:val="Heading2"/>
      </w:pPr>
      <w:r>
        <w:t>Phase 3 — Add privacy and observability basics</w:t>
      </w:r>
    </w:p>
    <w:p>
      <w:r>
        <w:t>Goal: make it obvious where a request went and what happened.</w:t>
      </w:r>
    </w:p>
    <w:p>
      <w:r>
        <w:t>[ ] Expose provider/model/backend identity for every execution.</w:t>
      </w:r>
    </w:p>
    <w:p>
      <w:r>
        <w:t>[ ] Record latency and normalized usage where available.</w:t>
      </w:r>
    </w:p>
    <w:p>
      <w:r>
        <w:t>[ ] Distinguish local vs external execution in logs/UI.</w:t>
      </w:r>
    </w:p>
    <w:p>
      <w:r>
        <w:t>[ ] Add timeouts and bounded retries only where they are safe.</w:t>
      </w:r>
    </w:p>
    <w:p>
      <w:r>
        <w:t>[ ] Keep sensitive prompt storage off by default.</w:t>
      </w:r>
    </w:p>
    <w:p>
      <w:r>
        <w:t>[ ] Prevent accidental cloud execution when a request is marked local-only.</w:t>
      </w:r>
    </w:p>
    <w:p>
      <w:pPr>
        <w:pStyle w:val="Heading2"/>
      </w:pPr>
      <w:r>
        <w:t>Codex prompt — Phase 3</w:t>
      </w:r>
    </w:p>
    <w:p>
      <w:pPr>
        <w:keepLines/>
        <w:spacing w:before="40" w:after="120"/>
        <w:ind w:left="115" w:right="115"/>
        <w:shd w:fill="F4F6F7"/>
      </w:pPr>
      <w:r>
        <w:rPr>
          <w:rFonts w:ascii="Aptos Mono" w:hAnsi="Aptos Mono"/>
          <w:sz w:val="18"/>
        </w:rPr>
        <w:t>Harden the existing provider layer without expanding its scope.</w:t>
        <w:br/>
        <w:t>Add:</w:t>
        <w:br/>
        <w:t>- provider/model/backend identity in execution metadata,</w:t>
        <w:br/>
        <w:t>- latency and usage metadata with estimated-vs-reported distinction,</w:t>
        <w:br/>
        <w:t>- safe timeout/retry behaviour,</w:t>
        <w:br/>
        <w:t>- explicit local-only vs cloud-allowed policy enforcement,</w:t>
        <w:br/>
        <w:t>- minimal logging that avoids storing sensitive prompts by default.</w:t>
        <w:br/>
        <w:t>Review the existing tests first. Add regression tests for the privacy boundary and failure handling. Do not add an Orchestrator here; this layer exposes information to it but does not decide routing.</w:t>
      </w:r>
    </w:p>
    <w:p>
      <w:pPr>
        <w:pStyle w:val="Heading2"/>
      </w:pPr>
      <w:r>
        <w:t>Phase 4 — Package for reuse</w:t>
      </w:r>
    </w:p>
    <w:p>
      <w:r>
        <w:t>Goal: make the layer easy to consume from the next projects without prematurely splitting it into many services.</w:t>
      </w:r>
    </w:p>
    <w:p>
      <w:r>
        <w:t>[ ] Choose library/module vs small service based on actual consumers.</w:t>
      </w:r>
    </w:p>
    <w:p>
      <w:r>
        <w:t>[ ] Provide one minimal integration example.</w:t>
      </w:r>
    </w:p>
    <w:p>
      <w:r>
        <w:t>[ ] Document environment variables/secrets without embedding credentials.</w:t>
      </w:r>
    </w:p>
    <w:p>
      <w:r>
        <w:t>[ ] Add Docker support only if a real consumer benefits from it.</w:t>
      </w:r>
    </w:p>
    <w:p>
      <w:r>
        <w:t>[ ] Confirm the Council can consume the layer without provider-specific logic.</w:t>
      </w:r>
    </w:p>
    <w:p>
      <w:pPr>
        <w:pStyle w:val="Heading2"/>
      </w:pPr>
      <w:r>
        <w:t>Codex prompt — Phase 4</w:t>
      </w:r>
    </w:p>
    <w:p>
      <w:pPr>
        <w:keepLines/>
        <w:spacing w:before="40" w:after="120"/>
        <w:ind w:left="115" w:right="115"/>
        <w:shd w:fill="F4F6F7"/>
      </w:pPr>
      <w:r>
        <w:rPr>
          <w:rFonts w:ascii="Aptos Mono" w:hAnsi="Aptos Mono"/>
          <w:sz w:val="18"/>
        </w:rPr>
        <w:t>Turn the current AI provider layer into a reusable component for the next project.</w:t>
        <w:br/>
        <w:t>Review the repository and determine whether it should remain a Python package/module or become a small service. Prefer the simpler option.</w:t>
        <w:br/>
        <w:t>Deliver:</w:t>
        <w:br/>
        <w:t>- concise README,</w:t>
        <w:br/>
        <w:t>- configuration example,</w:t>
        <w:br/>
        <w:t>- integration example,</w:t>
        <w:br/>
        <w:t>- tests proving backend switching,</w:t>
        <w:br/>
        <w:t>- documented capability limitations.</w:t>
        <w:br/>
        <w:t>Do not introduce microservices just for architectural purity. Preserve a direct-call path and keep routing/prompt policy outside this layer.</w:t>
      </w:r>
    </w:p>
    <w:p>
      <w:pPr>
        <w:pStyle w:val="Heading1"/>
      </w:pPr>
      <w:r>
        <w:t>5. Acceptance gates</w:t>
      </w:r>
    </w:p>
    <w:p>
      <w:pPr>
        <w:pStyle w:val="ListNumber"/>
      </w:pPr>
      <w:r>
        <w:t>Interface can be explained on one page.</w:t>
      </w:r>
    </w:p>
    <w:p>
      <w:pPr>
        <w:pStyle w:val="ListNumber"/>
      </w:pPr>
      <w:r>
        <w:t>Same test request works against all three backend types.</w:t>
      </w:r>
    </w:p>
    <w:p>
      <w:pPr>
        <w:pStyle w:val="ListNumber"/>
      </w:pPr>
      <w:r>
        <w:t>Consumer code contains no provider-specific API calls.</w:t>
      </w:r>
    </w:p>
    <w:p>
      <w:pPr>
        <w:pStyle w:val="ListNumber"/>
      </w:pPr>
      <w:r>
        <w:t>Local-only requests cannot silently leave the machine.</w:t>
      </w:r>
    </w:p>
    <w:p>
      <w:pPr>
        <w:pStyle w:val="ListNumber"/>
      </w:pPr>
      <w:r>
        <w:t>The Orchestrator can select provider/model through the interface without implementing adapter logic itself.</w:t>
      </w:r>
    </w:p>
    <w:p>
      <w:pPr>
        <w:pStyle w:val="ListNumber"/>
      </w:pPr>
      <w:r>
        <w:t>No new infrastructure is added until a real consumer requires it.</w:t>
      </w:r>
    </w:p>
    <w:p>
      <w:pPr>
        <w:pStyle w:val="Heading1"/>
      </w:pPr>
      <w:r>
        <w:t>6. Future expansion triggers</w:t>
      </w:r>
    </w:p>
    <w:p>
      <w:pPr>
        <w:pStyle w:val="ListBullet"/>
      </w:pPr>
      <w:r>
        <w:t>Structured output when a real workflow needs reliable machine-readable results.</w:t>
      </w:r>
    </w:p>
    <w:p>
      <w:pPr>
        <w:pStyle w:val="ListBullet"/>
      </w:pPr>
      <w:r>
        <w:t>Embeddings when retrieval/search is actually needed.</w:t>
      </w:r>
    </w:p>
    <w:p>
      <w:pPr>
        <w:pStyle w:val="ListBullet"/>
      </w:pPr>
      <w:r>
        <w:t>Tool calling when a consumer genuinely needs controlled actions.</w:t>
      </w:r>
    </w:p>
    <w:p>
      <w:pPr>
        <w:pStyle w:val="ListBullet"/>
      </w:pPr>
      <w:r>
        <w:t>Richer provider health and quota APIs when real routing requires them.</w:t>
      </w:r>
    </w:p>
    <w:p>
      <w:pPr>
        <w:pStyle w:val="ListBullet"/>
      </w:pPr>
      <w:r>
        <w:t>Additional adapters only when a real project needs the provider.</w:t>
      </w:r>
    </w:p>
    <w:p>
      <w:r>
        <w:br w:type="page"/>
      </w:r>
    </w:p>
    <w:p>
      <w:pPr>
        <w:pStyle w:val="Heading1"/>
      </w:pPr>
      <w:r>
        <w:t>7. Main risks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312"/>
            <w:shd w:fill="D9EAF7"/>
            <w:tcMar>
              <w:top w:w="90" w:type="dxa"/>
              <w:start w:w="110" w:type="dxa"/>
              <w:bottom w:w="90" w:type="dxa"/>
              <w:end w:w="110" w:type="dxa"/>
            </w:tcMar>
            <w:vAlign w:val="center"/>
          </w:tcPr>
          <w:p>
            <w:r>
              <w:rPr>
                <w:b/>
              </w:rPr>
              <w:t>Risk</w:t>
            </w:r>
          </w:p>
        </w:tc>
        <w:tc>
          <w:tcPr>
            <w:tcW w:type="dxa" w:w="5616"/>
            <w:shd w:fill="D9EAF7"/>
            <w:tcMar>
              <w:top w:w="90" w:type="dxa"/>
              <w:start w:w="110" w:type="dxa"/>
              <w:bottom w:w="90" w:type="dxa"/>
              <w:end w:w="110" w:type="dxa"/>
            </w:tcMar>
            <w:vAlign w:val="center"/>
          </w:tcPr>
          <w:p>
            <w:r>
              <w:rPr>
                <w:b/>
              </w:rPr>
              <w:t>Mitigation</w:t>
            </w:r>
          </w:p>
        </w:tc>
      </w:tr>
      <w:tr>
        <w:tc>
          <w:tcPr>
            <w:tcW w:type="dxa" w:w="3312"/>
            <w:tcMar>
              <w:top w:w="90" w:type="dxa"/>
              <w:start w:w="110" w:type="dxa"/>
              <w:bottom w:w="90" w:type="dxa"/>
              <w:end w:w="110" w:type="dxa"/>
            </w:tcMar>
            <w:vAlign w:val="top"/>
          </w:tcPr>
          <w:p>
            <w:r>
              <w:t>Lowest-common-denominator API becomes restrictive</w:t>
            </w:r>
          </w:p>
        </w:tc>
        <w:tc>
          <w:tcPr>
            <w:tcW w:type="dxa" w:w="5616"/>
            <w:tcMar>
              <w:top w:w="90" w:type="dxa"/>
              <w:start w:w="110" w:type="dxa"/>
              <w:bottom w:w="90" w:type="dxa"/>
              <w:end w:w="110" w:type="dxa"/>
            </w:tcMar>
            <w:vAlign w:val="top"/>
          </w:tcPr>
          <w:p>
            <w:r>
              <w:t>Keep the common contract small and make advanced capabilities explicit.</w:t>
            </w:r>
          </w:p>
        </w:tc>
      </w:tr>
      <w:tr>
        <w:tc>
          <w:tcPr>
            <w:tcW w:type="dxa" w:w="3312"/>
            <w:tcMar>
              <w:top w:w="90" w:type="dxa"/>
              <w:start w:w="110" w:type="dxa"/>
              <w:bottom w:w="90" w:type="dxa"/>
              <w:end w:w="110" w:type="dxa"/>
            </w:tcMar>
            <w:vAlign w:val="top"/>
          </w:tcPr>
          <w:p>
            <w:r>
              <w:t>Provider behaviour differs subtly</w:t>
            </w:r>
          </w:p>
        </w:tc>
        <w:tc>
          <w:tcPr>
            <w:tcW w:type="dxa" w:w="5616"/>
            <w:tcMar>
              <w:top w:w="90" w:type="dxa"/>
              <w:start w:w="110" w:type="dxa"/>
              <w:bottom w:w="90" w:type="dxa"/>
              <w:end w:w="110" w:type="dxa"/>
            </w:tcMar>
            <w:vAlign w:val="top"/>
          </w:tcPr>
          <w:p>
            <w:r>
              <w:t>Normalize only what callers need; preserve provider metadata.</w:t>
            </w:r>
          </w:p>
        </w:tc>
      </w:tr>
      <w:tr>
        <w:tc>
          <w:tcPr>
            <w:tcW w:type="dxa" w:w="3312"/>
            <w:tcMar>
              <w:top w:w="90" w:type="dxa"/>
              <w:start w:w="110" w:type="dxa"/>
              <w:bottom w:w="90" w:type="dxa"/>
              <w:end w:w="110" w:type="dxa"/>
            </w:tcMar>
            <w:vAlign w:val="top"/>
          </w:tcPr>
          <w:p>
            <w:r>
              <w:t>Aggregator becomes a single point of failure</w:t>
            </w:r>
          </w:p>
        </w:tc>
        <w:tc>
          <w:tcPr>
            <w:tcW w:type="dxa" w:w="5616"/>
            <w:tcMar>
              <w:top w:w="90" w:type="dxa"/>
              <w:start w:w="110" w:type="dxa"/>
              <w:bottom w:w="90" w:type="dxa"/>
              <w:end w:w="110" w:type="dxa"/>
            </w:tcMar>
            <w:vAlign w:val="top"/>
          </w:tcPr>
          <w:p>
            <w:r>
              <w:t>Keep direct and local backends usable.</w:t>
            </w:r>
          </w:p>
        </w:tc>
      </w:tr>
      <w:tr>
        <w:tc>
          <w:tcPr>
            <w:tcW w:type="dxa" w:w="3312"/>
            <w:tcMar>
              <w:top w:w="90" w:type="dxa"/>
              <w:start w:w="110" w:type="dxa"/>
              <w:bottom w:w="90" w:type="dxa"/>
              <w:end w:w="110" w:type="dxa"/>
            </w:tcMar>
            <w:vAlign w:val="top"/>
          </w:tcPr>
          <w:p>
            <w:r>
              <w:t>Privacy assumptions are wrong</w:t>
            </w:r>
          </w:p>
        </w:tc>
        <w:tc>
          <w:tcPr>
            <w:tcW w:type="dxa" w:w="5616"/>
            <w:tcMar>
              <w:top w:w="90" w:type="dxa"/>
              <w:start w:w="110" w:type="dxa"/>
              <w:bottom w:w="90" w:type="dxa"/>
              <w:end w:w="110" w:type="dxa"/>
            </w:tcMar>
            <w:vAlign w:val="top"/>
          </w:tcPr>
          <w:p>
            <w:r>
              <w:t>Treat cloud execution as external processing and enforce explicit policy.</w:t>
            </w:r>
          </w:p>
        </w:tc>
      </w:tr>
      <w:tr>
        <w:tc>
          <w:tcPr>
            <w:tcW w:type="dxa" w:w="3312"/>
            <w:tcMar>
              <w:top w:w="90" w:type="dxa"/>
              <w:start w:w="110" w:type="dxa"/>
              <w:bottom w:w="90" w:type="dxa"/>
              <w:end w:w="110" w:type="dxa"/>
            </w:tcMar>
            <w:vAlign w:val="top"/>
          </w:tcPr>
          <w:p>
            <w:r>
              <w:t>Infrastructure becomes procrastination</w:t>
            </w:r>
          </w:p>
        </w:tc>
        <w:tc>
          <w:tcPr>
            <w:tcW w:type="dxa" w:w="5616"/>
            <w:tcMar>
              <w:top w:w="90" w:type="dxa"/>
              <w:start w:w="110" w:type="dxa"/>
              <w:bottom w:w="90" w:type="dxa"/>
              <w:end w:w="110" w:type="dxa"/>
            </w:tcMar>
            <w:vAlign w:val="top"/>
          </w:tcPr>
          <w:p>
            <w:r>
              <w:t>Use the Council/Orchestrator as real acceptance consumers.</w:t>
            </w:r>
          </w:p>
        </w:tc>
      </w:tr>
    </w:tbl>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