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Plan: Local AI Council</w:t>
      </w:r>
    </w:p>
    <w:p>
      <w:r>
        <w:rPr>
          <w:i/>
          <w:sz w:val="22"/>
        </w:rPr>
        <w:t>Multi-model decision support that preserves disagreement and uses the AI Orchestrator without owning routing logic</w:t>
      </w:r>
    </w:p>
    <w:p>
      <w:r>
        <w:rPr>
          <w:b/>
        </w:rPr>
        <w:t xml:space="preserve">Working rule: </w:t>
      </w:r>
      <w:r>
        <w:t>Prefer a small finished vertical slice over speculative infrastructure. Use the detailed phase prompts with Codex; update the plan only when evidence changes the design.</w:t>
      </w:r>
    </w:p>
    <w:p>
      <w:pPr>
        <w:pStyle w:val="Heading1"/>
      </w:pPr>
      <w:r>
        <w:t>1. Purpose and success condition</w:t>
      </w:r>
    </w:p>
    <w:p>
      <w:r>
        <w:t>Build a personal tool for questions where multiple independent viewpoints, model diversity, or explicit disagreement is useful. The Council is decision support, not an authority. It must preserve raw answers, model provenance, uncertainty, and minority viewpoints.</w:t>
      </w:r>
    </w:p>
    <w:p>
      <w:pPr>
        <w:pStyle w:val="Heading1"/>
      </w:pPr>
      <w:r>
        <w:t>2. Council components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Mar>
              <w:top w:w="90" w:type="dxa"/>
              <w:start w:w="110" w:type="dxa"/>
              <w:bottom w:w="90" w:type="dxa"/>
              <w:end w:w="110" w:type="dxa"/>
            </w:tcMar>
            <w:vAlign w:val="center"/>
          </w:tcPr>
          <w:p>
            <w:r>
              <w:rPr>
                <w:b/>
              </w:rPr>
              <w:t>Component</w:t>
            </w:r>
          </w:p>
        </w:tc>
        <w:tc>
          <w:tcPr>
            <w:tcW w:type="dxa" w:w="6048"/>
            <w:shd w:fill="D9EAF7"/>
            <w:tcMar>
              <w:top w:w="90" w:type="dxa"/>
              <w:start w:w="110" w:type="dxa"/>
              <w:bottom w:w="90" w:type="dxa"/>
              <w:end w:w="110" w:type="dxa"/>
            </w:tcMar>
            <w:vAlign w:val="center"/>
          </w:tcPr>
          <w:p>
            <w:r>
              <w:rPr>
                <w:b/>
              </w:rPr>
              <w:t>Responsibility</w:t>
            </w:r>
          </w:p>
        </w:tc>
      </w:tr>
      <w:tr>
        <w:tc>
          <w:tcPr>
            <w:tcW w:type="dxa" w:w="2880"/>
            <w:tcMar>
              <w:top w:w="90" w:type="dxa"/>
              <w:start w:w="110" w:type="dxa"/>
              <w:bottom w:w="90" w:type="dxa"/>
              <w:end w:w="110" w:type="dxa"/>
            </w:tcMar>
            <w:vAlign w:val="top"/>
          </w:tcPr>
          <w:p>
            <w:r>
              <w:t>Model respondents</w:t>
            </w:r>
          </w:p>
        </w:tc>
        <w:tc>
          <w:tcPr>
            <w:tcW w:type="dxa" w:w="6048"/>
            <w:tcMar>
              <w:top w:w="90" w:type="dxa"/>
              <w:start w:w="110" w:type="dxa"/>
              <w:bottom w:w="90" w:type="dxa"/>
              <w:end w:w="110" w:type="dxa"/>
            </w:tcMar>
            <w:vAlign w:val="top"/>
          </w:tcPr>
          <w:p>
            <w:r>
              <w:t>Provide independent answers from selected models/providers.</w:t>
            </w:r>
          </w:p>
        </w:tc>
      </w:tr>
      <w:tr>
        <w:tc>
          <w:tcPr>
            <w:tcW w:type="dxa" w:w="2880"/>
            <w:tcMar>
              <w:top w:w="90" w:type="dxa"/>
              <w:start w:w="110" w:type="dxa"/>
              <w:bottom w:w="90" w:type="dxa"/>
              <w:end w:w="110" w:type="dxa"/>
            </w:tcMar>
            <w:vAlign w:val="top"/>
          </w:tcPr>
          <w:p>
            <w:r>
              <w:t>Evidence/argument collector</w:t>
            </w:r>
          </w:p>
        </w:tc>
        <w:tc>
          <w:tcPr>
            <w:tcW w:type="dxa" w:w="6048"/>
            <w:tcMar>
              <w:top w:w="90" w:type="dxa"/>
              <w:start w:w="110" w:type="dxa"/>
              <w:bottom w:w="90" w:type="dxa"/>
              <w:end w:w="110" w:type="dxa"/>
            </w:tcMar>
            <w:vAlign w:val="top"/>
          </w:tcPr>
          <w:p>
            <w:r>
              <w:t>Extract claims, assumptions, uncertainties, and disagreements.</w:t>
            </w:r>
          </w:p>
        </w:tc>
      </w:tr>
      <w:tr>
        <w:tc>
          <w:tcPr>
            <w:tcW w:type="dxa" w:w="2880"/>
            <w:tcMar>
              <w:top w:w="90" w:type="dxa"/>
              <w:start w:w="110" w:type="dxa"/>
              <w:bottom w:w="90" w:type="dxa"/>
              <w:end w:w="110" w:type="dxa"/>
            </w:tcMar>
            <w:vAlign w:val="top"/>
          </w:tcPr>
          <w:p>
            <w:r>
              <w:t>Synthesizer</w:t>
            </w:r>
          </w:p>
        </w:tc>
        <w:tc>
          <w:tcPr>
            <w:tcW w:type="dxa" w:w="6048"/>
            <w:tcMar>
              <w:top w:w="90" w:type="dxa"/>
              <w:start w:w="110" w:type="dxa"/>
              <w:bottom w:w="90" w:type="dxa"/>
              <w:end w:w="110" w:type="dxa"/>
            </w:tcMar>
            <w:vAlign w:val="top"/>
          </w:tcPr>
          <w:p>
            <w:r>
              <w:t>Produce a final response from the collected viewpoints without hiding the raw answers.</w:t>
            </w:r>
          </w:p>
        </w:tc>
      </w:tr>
      <w:tr>
        <w:tc>
          <w:tcPr>
            <w:tcW w:type="dxa" w:w="2880"/>
            <w:tcMar>
              <w:top w:w="90" w:type="dxa"/>
              <w:start w:w="110" w:type="dxa"/>
              <w:bottom w:w="90" w:type="dxa"/>
              <w:end w:w="110" w:type="dxa"/>
            </w:tcMar>
            <w:vAlign w:val="top"/>
          </w:tcPr>
          <w:p>
            <w:r>
              <w:t>Report/UI</w:t>
            </w:r>
          </w:p>
        </w:tc>
        <w:tc>
          <w:tcPr>
            <w:tcW w:type="dxa" w:w="6048"/>
            <w:tcMar>
              <w:top w:w="90" w:type="dxa"/>
              <w:start w:w="110" w:type="dxa"/>
              <w:bottom w:w="90" w:type="dxa"/>
              <w:end w:w="110" w:type="dxa"/>
            </w:tcMar>
            <w:vAlign w:val="top"/>
          </w:tcPr>
          <w:p>
            <w:r>
              <w:t>Show raw answers, provenance, synthesis, and uncertainty; support saving/export.</w:t>
            </w:r>
          </w:p>
        </w:tc>
      </w:tr>
    </w:tbl>
    <w:p>
      <w:pPr>
        <w:pStyle w:val="Heading1"/>
      </w:pPr>
      <w:r>
        <w:t>3. Architectural boundary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464"/>
            <w:shd w:fill="D9EAF7"/>
            <w:tcMar>
              <w:top w:w="90" w:type="dxa"/>
              <w:start w:w="110" w:type="dxa"/>
              <w:bottom w:w="90" w:type="dxa"/>
              <w:end w:w="110" w:type="dxa"/>
            </w:tcMar>
            <w:vAlign w:val="center"/>
          </w:tcPr>
          <w:p>
            <w:r>
              <w:rPr>
                <w:b/>
              </w:rPr>
              <w:t>Council owns</w:t>
            </w:r>
          </w:p>
        </w:tc>
        <w:tc>
          <w:tcPr>
            <w:tcW w:type="dxa" w:w="4464"/>
            <w:shd w:fill="D9EAF7"/>
            <w:tcMar>
              <w:top w:w="90" w:type="dxa"/>
              <w:start w:w="110" w:type="dxa"/>
              <w:bottom w:w="90" w:type="dxa"/>
              <w:end w:w="110" w:type="dxa"/>
            </w:tcMar>
            <w:vAlign w:val="center"/>
          </w:tcPr>
          <w:p>
            <w:r>
              <w:rPr>
                <w:b/>
              </w:rPr>
              <w:t>Orchestrator/provider layer owns</w:t>
            </w:r>
          </w:p>
        </w:tc>
      </w:tr>
      <w:tr>
        <w:tc>
          <w:tcPr>
            <w:tcW w:type="dxa" w:w="4464"/>
            <w:tcMar>
              <w:top w:w="90" w:type="dxa"/>
              <w:start w:w="110" w:type="dxa"/>
              <w:bottom w:w="90" w:type="dxa"/>
              <w:end w:w="110" w:type="dxa"/>
            </w:tcMar>
            <w:vAlign w:val="top"/>
          </w:tcPr>
          <w:p>
            <w:r>
              <w:t>Multi-perspective workflow</w:t>
            </w:r>
          </w:p>
        </w:tc>
        <w:tc>
          <w:tcPr>
            <w:tcW w:type="dxa" w:w="4464"/>
            <w:tcMar>
              <w:top w:w="90" w:type="dxa"/>
              <w:start w:w="110" w:type="dxa"/>
              <w:bottom w:w="90" w:type="dxa"/>
              <w:end w:w="110" w:type="dxa"/>
            </w:tcMar>
            <w:vAlign w:val="top"/>
          </w:tcPr>
          <w:p>
            <w:r>
              <w:t>Prompt quality judging/refinement</w:t>
            </w:r>
          </w:p>
        </w:tc>
      </w:tr>
      <w:tr>
        <w:tc>
          <w:tcPr>
            <w:tcW w:type="dxa" w:w="4464"/>
            <w:tcMar>
              <w:top w:w="90" w:type="dxa"/>
              <w:start w:w="110" w:type="dxa"/>
              <w:bottom w:w="90" w:type="dxa"/>
              <w:end w:w="110" w:type="dxa"/>
            </w:tcMar>
            <w:vAlign w:val="top"/>
          </w:tcPr>
          <w:p>
            <w:r>
              <w:t>Which roles/respondents are needed</w:t>
            </w:r>
          </w:p>
        </w:tc>
        <w:tc>
          <w:tcPr>
            <w:tcW w:type="dxa" w:w="4464"/>
            <w:tcMar>
              <w:top w:w="90" w:type="dxa"/>
              <w:start w:w="110" w:type="dxa"/>
              <w:bottom w:w="90" w:type="dxa"/>
              <w:end w:w="110" w:type="dxa"/>
            </w:tcMar>
            <w:vAlign w:val="top"/>
          </w:tcPr>
          <w:p>
            <w:r>
              <w:t>Model/provider recommendation</w:t>
            </w:r>
          </w:p>
        </w:tc>
      </w:tr>
      <w:tr>
        <w:tc>
          <w:tcPr>
            <w:tcW w:type="dxa" w:w="4464"/>
            <w:tcMar>
              <w:top w:w="90" w:type="dxa"/>
              <w:start w:w="110" w:type="dxa"/>
              <w:bottom w:w="90" w:type="dxa"/>
              <w:end w:w="110" w:type="dxa"/>
            </w:tcMar>
            <w:vAlign w:val="top"/>
          </w:tcPr>
          <w:p>
            <w:r>
              <w:t>Collection and comparison of responses</w:t>
            </w:r>
          </w:p>
        </w:tc>
        <w:tc>
          <w:tcPr>
            <w:tcW w:type="dxa" w:w="4464"/>
            <w:tcMar>
              <w:top w:w="90" w:type="dxa"/>
              <w:start w:w="110" w:type="dxa"/>
              <w:bottom w:w="90" w:type="dxa"/>
              <w:end w:w="110" w:type="dxa"/>
            </w:tcMar>
            <w:vAlign w:val="top"/>
          </w:tcPr>
          <w:p>
            <w:r>
              <w:t>Request configuration/presets</w:t>
            </w:r>
          </w:p>
        </w:tc>
      </w:tr>
      <w:tr>
        <w:tc>
          <w:tcPr>
            <w:tcW w:type="dxa" w:w="4464"/>
            <w:tcMar>
              <w:top w:w="90" w:type="dxa"/>
              <w:start w:w="110" w:type="dxa"/>
              <w:bottom w:w="90" w:type="dxa"/>
              <w:end w:w="110" w:type="dxa"/>
            </w:tcMar>
            <w:vAlign w:val="top"/>
          </w:tcPr>
          <w:p>
            <w:r>
              <w:t>Synthesis of viewpoints</w:t>
            </w:r>
          </w:p>
        </w:tc>
        <w:tc>
          <w:tcPr>
            <w:tcW w:type="dxa" w:w="4464"/>
            <w:tcMar>
              <w:top w:w="90" w:type="dxa"/>
              <w:start w:w="110" w:type="dxa"/>
              <w:bottom w:w="90" w:type="dxa"/>
              <w:end w:w="110" w:type="dxa"/>
            </w:tcMar>
            <w:vAlign w:val="top"/>
          </w:tcPr>
          <w:p>
            <w:r>
              <w:t>Usage/quota-aware routing</w:t>
            </w:r>
          </w:p>
        </w:tc>
      </w:tr>
      <w:tr>
        <w:tc>
          <w:tcPr>
            <w:tcW w:type="dxa" w:w="4464"/>
            <w:tcMar>
              <w:top w:w="90" w:type="dxa"/>
              <w:start w:w="110" w:type="dxa"/>
              <w:bottom w:w="90" w:type="dxa"/>
              <w:end w:w="110" w:type="dxa"/>
            </w:tcMar>
            <w:vAlign w:val="top"/>
          </w:tcPr>
          <w:p>
            <w:r>
              <w:t>Presentation/export</w:t>
            </w:r>
          </w:p>
        </w:tc>
        <w:tc>
          <w:tcPr>
            <w:tcW w:type="dxa" w:w="4464"/>
            <w:tcMar>
              <w:top w:w="90" w:type="dxa"/>
              <w:start w:w="110" w:type="dxa"/>
              <w:bottom w:w="90" w:type="dxa"/>
              <w:end w:w="110" w:type="dxa"/>
            </w:tcMar>
            <w:vAlign w:val="top"/>
          </w:tcPr>
          <w:p>
            <w:r>
              <w:t>Provider adapters and API details</w:t>
            </w:r>
          </w:p>
        </w:tc>
      </w:tr>
    </w:tbl>
    <w:p>
      <w:pPr>
        <w:pStyle w:val="Heading1"/>
      </w:pPr>
      <w:r>
        <w:t>4. MVP behaviour</w:t>
      </w:r>
    </w:p>
    <w:p>
      <w:r>
        <w:t>[ ] Accept one user task and optional sensitivity classification.</w:t>
      </w:r>
    </w:p>
    <w:p>
      <w:r>
        <w:t>[ ] Ask 3 respondents concurrently where practical.</w:t>
      </w:r>
    </w:p>
    <w:p>
      <w:r>
        <w:t>[ ] Preserve each raw answer separately.</w:t>
      </w:r>
    </w:p>
    <w:p>
      <w:r>
        <w:t>[ ] Use a synthesis step that identifies consensus, disagreement, assumptions, and unresolved uncertainty.</w:t>
      </w:r>
    </w:p>
    <w:p>
      <w:r>
        <w:t>[ ] Show backend/provider/model for every response.</w:t>
      </w:r>
    </w:p>
    <w:p>
      <w:r>
        <w:t>[ ] Allow manual model selection and an Orchestrator recommendation.</w:t>
      </w:r>
    </w:p>
    <w:p>
      <w:r>
        <w:t>[ ] Keep an obvious bypass path for simple tasks.</w:t>
      </w:r>
    </w:p>
    <w:p>
      <w:r>
        <w:t>[ ] Allow saving/exporting a council report.</w:t>
      </w:r>
    </w:p>
    <w:p>
      <w:pPr>
        <w:pStyle w:val="Heading1"/>
      </w:pPr>
      <w:r>
        <w:t>5. Privacy modes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016"/>
            <w:shd w:fill="D9EAF7"/>
            <w:tcMar>
              <w:top w:w="90" w:type="dxa"/>
              <w:start w:w="110" w:type="dxa"/>
              <w:bottom w:w="90" w:type="dxa"/>
              <w:end w:w="110" w:type="dxa"/>
            </w:tcMar>
            <w:vAlign w:val="center"/>
          </w:tcPr>
          <w:p>
            <w:r>
              <w:rPr>
                <w:b/>
              </w:rPr>
              <w:t>Mode</w:t>
            </w:r>
          </w:p>
        </w:tc>
        <w:tc>
          <w:tcPr>
            <w:tcW w:type="dxa" w:w="6912"/>
            <w:shd w:fill="D9EAF7"/>
            <w:tcMar>
              <w:top w:w="90" w:type="dxa"/>
              <w:start w:w="110" w:type="dxa"/>
              <w:bottom w:w="90" w:type="dxa"/>
              <w:end w:w="110" w:type="dxa"/>
            </w:tcMar>
            <w:vAlign w:val="center"/>
          </w:tcPr>
          <w:p>
            <w:r>
              <w:rPr>
                <w:b/>
              </w:rPr>
              <w:t>Rule</w:t>
            </w:r>
          </w:p>
        </w:tc>
      </w:tr>
      <w:tr>
        <w:tc>
          <w:tcPr>
            <w:tcW w:type="dxa" w:w="2016"/>
            <w:tcMar>
              <w:top w:w="90" w:type="dxa"/>
              <w:start w:w="110" w:type="dxa"/>
              <w:bottom w:w="90" w:type="dxa"/>
              <w:end w:w="110" w:type="dxa"/>
            </w:tcMar>
            <w:vAlign w:val="top"/>
          </w:tcPr>
          <w:p>
            <w:r>
              <w:t>LOCAL</w:t>
            </w:r>
          </w:p>
        </w:tc>
        <w:tc>
          <w:tcPr>
            <w:tcW w:type="dxa" w:w="6912"/>
            <w:tcMar>
              <w:top w:w="90" w:type="dxa"/>
              <w:start w:w="110" w:type="dxa"/>
              <w:bottom w:w="90" w:type="dxa"/>
              <w:end w:w="110" w:type="dxa"/>
            </w:tcMar>
            <w:vAlign w:val="top"/>
          </w:tcPr>
          <w:p>
            <w:r>
              <w:t>Entire inference/orchestration chain remains local unless the user explicitly changes policy.</w:t>
            </w:r>
          </w:p>
        </w:tc>
      </w:tr>
      <w:tr>
        <w:tc>
          <w:tcPr>
            <w:tcW w:type="dxa" w:w="2016"/>
            <w:tcMar>
              <w:top w:w="90" w:type="dxa"/>
              <w:start w:w="110" w:type="dxa"/>
              <w:bottom w:w="90" w:type="dxa"/>
              <w:end w:w="110" w:type="dxa"/>
            </w:tcMar>
            <w:vAlign w:val="top"/>
          </w:tcPr>
          <w:p>
            <w:r>
              <w:t>CLOUD</w:t>
            </w:r>
          </w:p>
        </w:tc>
        <w:tc>
          <w:tcPr>
            <w:tcW w:type="dxa" w:w="6912"/>
            <w:tcMar>
              <w:top w:w="90" w:type="dxa"/>
              <w:start w:w="110" w:type="dxa"/>
              <w:bottom w:w="90" w:type="dxa"/>
              <w:end w:w="110" w:type="dxa"/>
            </w:tcMar>
            <w:vAlign w:val="top"/>
          </w:tcPr>
          <w:p>
            <w:r>
              <w:t>Use approved hosted backends and clearly show external execution.</w:t>
            </w:r>
          </w:p>
        </w:tc>
      </w:tr>
      <w:tr>
        <w:tc>
          <w:tcPr>
            <w:tcW w:type="dxa" w:w="2016"/>
            <w:tcMar>
              <w:top w:w="90" w:type="dxa"/>
              <w:start w:w="110" w:type="dxa"/>
              <w:bottom w:w="90" w:type="dxa"/>
              <w:end w:w="110" w:type="dxa"/>
            </w:tcMar>
            <w:vAlign w:val="top"/>
          </w:tcPr>
          <w:p>
            <w:r>
              <w:t>HYBRID</w:t>
            </w:r>
          </w:p>
        </w:tc>
        <w:tc>
          <w:tcPr>
            <w:tcW w:type="dxa" w:w="6912"/>
            <w:tcMar>
              <w:top w:w="90" w:type="dxa"/>
              <w:start w:w="110" w:type="dxa"/>
              <w:bottom w:w="90" w:type="dxa"/>
              <w:end w:w="110" w:type="dxa"/>
            </w:tcMar>
            <w:vAlign w:val="top"/>
          </w:tcPr>
          <w:p>
            <w:r>
              <w:t>Perform sensitive transformation/redaction locally; only approved sanitized/general content may leave the machine.</w:t>
            </w:r>
          </w:p>
        </w:tc>
      </w:tr>
    </w:tbl>
    <w:p>
      <w:pPr>
        <w:pStyle w:val="Heading1"/>
      </w:pPr>
      <w:r>
        <w:t>6. Phases</w:t>
      </w:r>
    </w:p>
    <w:p>
      <w:pPr>
        <w:pStyle w:val="Heading2"/>
      </w:pPr>
      <w:r>
        <w:t>Phase 1 — Prove the Council is useful</w:t>
      </w:r>
    </w:p>
    <w:p>
      <w:r>
        <w:t>Goal: test whether multiple answers produce better information rather than simply more text.</w:t>
      </w:r>
    </w:p>
    <w:p>
      <w:r>
        <w:t>[ ] Run three independent models for the same real task.</w:t>
      </w:r>
    </w:p>
    <w:p>
      <w:r>
        <w:t>[ ] Display raw answers separately.</w:t>
      </w:r>
    </w:p>
    <w:p>
      <w:r>
        <w:t>[ ] Use a simple report format before building a complex UI.</w:t>
      </w:r>
    </w:p>
    <w:p>
      <w:r>
        <w:t>[ ] Record at least several cases where disagreement changed what you noticed.</w:t>
      </w:r>
    </w:p>
    <w:p>
      <w:r>
        <w:t>Definition of done: at least one real task where multi-model diversity materially improved your understanding, plus a written rule for when to use Council vs a single model.</w:t>
      </w:r>
    </w:p>
    <w:p>
      <w:pPr>
        <w:pStyle w:val="Heading2"/>
      </w:pPr>
      <w:r>
        <w:t>Codex prompt — Phase 1</w:t>
      </w:r>
    </w:p>
    <w:p>
      <w:pPr>
        <w:keepLines/>
        <w:spacing w:before="40" w:after="120"/>
        <w:ind w:left="115" w:right="115"/>
        <w:shd w:fill="F4F6F7"/>
      </w:pPr>
      <w:r>
        <w:rPr>
          <w:rFonts w:ascii="Aptos Mono" w:hAnsi="Aptos Mono"/>
          <w:sz w:val="18"/>
        </w:rPr>
        <w:t>Build the smallest useful AI Council using the existing provider-agnostic AI layer.</w:t>
        <w:br/>
        <w:t>Requirements:</w:t>
        <w:br/>
        <w:t>- One user task -&gt; three model responses in parallel where practical.</w:t>
        <w:br/>
        <w:t>- Preserve raw responses exactly enough for later inspection.</w:t>
        <w:br/>
        <w:t>- Record backend/provider/model metadata.</w:t>
        <w:br/>
        <w:t>- Start with a simple CLI or minimal interface; do not build a full product UI.</w:t>
        <w:br/>
        <w:t>- Keep the code ready for later insertion of an Orchestrator layer, but do not implement routing policy inside the Council.</w:t>
        <w:br/>
        <w:t>- Add tests for parallel execution, partial failure, and result provenance.</w:t>
        <w:br/>
        <w:t>Before coding, inspect the repository and propose a minimal design. Avoid memory, agents, leaderboards, and automatic web research.</w:t>
      </w:r>
    </w:p>
    <w:p>
      <w:pPr>
        <w:pStyle w:val="Heading2"/>
      </w:pPr>
      <w:r>
        <w:t>Phase 2 — Add synthesis and disagreement handling</w:t>
      </w:r>
    </w:p>
    <w:p>
      <w:r>
        <w:t>Goal: make the output useful without hiding the evidence.</w:t>
      </w:r>
    </w:p>
    <w:p>
      <w:r>
        <w:t>[ ] Generate consensus separately from disagreements.</w:t>
      </w:r>
    </w:p>
    <w:p>
      <w:r>
        <w:t>[ ] Extract assumptions and unresolved uncertainty.</w:t>
      </w:r>
    </w:p>
    <w:p>
      <w:r>
        <w:t>[ ] Preserve minority answers instead of majority-voting them away.</w:t>
      </w:r>
    </w:p>
    <w:p>
      <w:r>
        <w:t>[ ] Make clear which statements came from respondents and which are synthesis reasoning.</w:t>
      </w:r>
    </w:p>
    <w:p>
      <w:r>
        <w:t>Definition of done: a reader can inspect why the synthesis reached its conclusions without needing to trust an opaque score.</w:t>
      </w:r>
    </w:p>
    <w:p>
      <w:pPr>
        <w:pStyle w:val="Heading2"/>
      </w:pPr>
      <w:r>
        <w:t>Codex prompt — Phase 2</w:t>
      </w:r>
    </w:p>
    <w:p>
      <w:pPr>
        <w:keepLines/>
        <w:spacing w:before="40" w:after="120"/>
        <w:ind w:left="115" w:right="115"/>
        <w:shd w:fill="F4F6F7"/>
      </w:pPr>
      <w:r>
        <w:rPr>
          <w:rFonts w:ascii="Aptos Mono" w:hAnsi="Aptos Mono"/>
          <w:sz w:val="18"/>
        </w:rPr>
        <w:t>Extend the Council synthesis workflow.</w:t>
        <w:br/>
        <w:t>Input: three or more independent model responses.</w:t>
        <w:br/>
        <w:t>Output sections should distinguish:</w:t>
        <w:br/>
        <w:t>1. Points of agreement.</w:t>
        <w:br/>
        <w:t>2. Meaningful disagreements and the arguments behind them.</w:t>
        <w:br/>
        <w:t>3. Assumptions shared by multiple models.</w:t>
        <w:br/>
        <w:t>4. Unique/minority claims worth checking.</w:t>
        <w:br/>
        <w:t>5. Final synthesis with explicit uncertainty.</w:t>
        <w:br/>
        <w:t>Do not implement arbitrary model voting scores. Preserve the raw answers and provenance. Add tests that a minority answer is still visible when the synthesizer prefers another answer.</w:t>
      </w:r>
    </w:p>
    <w:p>
      <w:pPr>
        <w:pStyle w:val="Heading2"/>
      </w:pPr>
      <w:r>
        <w:t>Phase 3 — Integrate Orchestrator</w:t>
      </w:r>
    </w:p>
    <w:p>
      <w:r>
        <w:t>Goal: let the Council ask the Orchestrator for prompt refinement, respondent selection, configuration, and resource-aware routing.</w:t>
      </w:r>
    </w:p>
    <w:p>
      <w:r>
        <w:t>[ ] Optionally judge/refine the user prompt before execution.</w:t>
      </w:r>
    </w:p>
    <w:p>
      <w:r>
        <w:t>[ ] Ask the Orchestrator for suitable respondent models/roles.</w:t>
      </w:r>
    </w:p>
    <w:p>
      <w:r>
        <w:t>[ ] Prefer useful diversity when selecting respondents instead of three aliases of the same model.</w:t>
      </w:r>
    </w:p>
    <w:p>
      <w:r>
        <w:t>[ ] Select a synthesizer independently when practical.</w:t>
      </w:r>
    </w:p>
    <w:p>
      <w:r>
        <w:t>[ ] Show original prompt, refined prompt, chosen models, and routing reasons in transparency mode.</w:t>
      </w:r>
    </w:p>
    <w:p>
      <w:r>
        <w:t>[ ] Keep manual model pinning and direct/bypass execution.</w:t>
      </w:r>
    </w:p>
    <w:p>
      <w:pPr>
        <w:pStyle w:val="Heading2"/>
      </w:pPr>
      <w:r>
        <w:t>Codex prompt — Phase 3</w:t>
      </w:r>
    </w:p>
    <w:p>
      <w:pPr>
        <w:keepLines/>
        <w:spacing w:before="40" w:after="120"/>
        <w:ind w:left="115" w:right="115"/>
        <w:shd w:fill="F4F6F7"/>
      </w:pPr>
      <w:r>
        <w:rPr>
          <w:rFonts w:ascii="Aptos Mono" w:hAnsi="Aptos Mono"/>
          <w:sz w:val="18"/>
        </w:rPr>
        <w:t>Integrate the Council with the existing AI Orchestrator API.</w:t>
        <w:br/>
        <w:t>The Council remains responsible for:</w:t>
        <w:br/>
        <w:t>- multi-model execution,</w:t>
        <w:br/>
        <w:t>- response collection,</w:t>
        <w:br/>
        <w:t>- synthesis and presentation.</w:t>
        <w:br/>
        <w:t>The Orchestrator is responsible for:</w:t>
        <w:br/>
        <w:t>- judging/refining prompts,</w:t>
        <w:br/>
        <w:t>- recommending/selecting models,</w:t>
        <w:br/>
        <w:t>- request configuration,</w:t>
        <w:br/>
        <w:t>- quota-aware routing.</w:t>
        <w:br/>
        <w:t>Add a clear bypass option for users who want direct model selection. Do not duplicate orchestration logic in the Council. Add integration tests proving the Council can run with both manual model selection and Orchestrator-selected respondents.</w:t>
      </w:r>
    </w:p>
    <w:p>
      <w:pPr>
        <w:pStyle w:val="Heading2"/>
      </w:pPr>
      <w:r>
        <w:t>Phase 4 — Evaluate value vs overhead</w:t>
      </w:r>
    </w:p>
    <w:p>
      <w:r>
        <w:t>[ ] Create a small fixed test set of real tasks.</w:t>
      </w:r>
    </w:p>
    <w:p>
      <w:r>
        <w:t>[ ] Compare single-model answers to Council answers.</w:t>
      </w:r>
    </w:p>
    <w:p>
      <w:r>
        <w:t>[ ] Measure usefulness/diversity, latency, and cost.</w:t>
      </w:r>
    </w:p>
    <w:p>
      <w:r>
        <w:t>[ ] Record cases where the Council adds noise or latency without benefit.</w:t>
      </w:r>
    </w:p>
    <w:p>
      <w:r>
        <w:t>[ ] Define practical triggers for using Council.</w:t>
      </w:r>
    </w:p>
    <w:p>
      <w:r>
        <w:t>Definition of done: you have a repeatable rule for choosing Council, direct model, or Orchestrator-only execution.</w:t>
      </w:r>
    </w:p>
    <w:p>
      <w:pPr>
        <w:pStyle w:val="Heading2"/>
      </w:pPr>
      <w:r>
        <w:t>Codex prompt — Phase 4</w:t>
      </w:r>
    </w:p>
    <w:p>
      <w:pPr>
        <w:keepLines/>
        <w:spacing w:before="40" w:after="120"/>
        <w:ind w:left="115" w:right="115"/>
        <w:shd w:fill="F4F6F7"/>
      </w:pPr>
      <w:r>
        <w:rPr>
          <w:rFonts w:ascii="Aptos Mono" w:hAnsi="Aptos Mono"/>
          <w:sz w:val="18"/>
        </w:rPr>
        <w:t>Create a lightweight evaluation harness for the AI Council.</w:t>
        <w:br/>
        <w:t>Compare:</w:t>
        <w:br/>
        <w:t>- direct strong-model baseline,</w:t>
        <w:br/>
        <w:t>- direct cheap-model baseline,</w:t>
        <w:br/>
        <w:t>- 3-model Council.</w:t>
        <w:br/>
        <w:t>Track task success/usefulness, response diversity, latency, cost/usage, and notable failure modes. Avoid a huge benchmark suite. The output should help me decide when the Council is worth its overhead.</w:t>
      </w:r>
    </w:p>
    <w:p>
      <w:pPr>
        <w:pStyle w:val="Heading1"/>
      </w:pPr>
      <w:r>
        <w:t>7. Critical design questions</w:t>
      </w:r>
    </w:p>
    <w:p>
      <w:pPr>
        <w:pStyle w:val="ListBullet"/>
      </w:pPr>
      <w:r>
        <w:t>Can the synthesizer preserve a correct minority view?</w:t>
      </w:r>
    </w:p>
    <w:p>
      <w:pPr>
        <w:pStyle w:val="ListBullet"/>
      </w:pPr>
      <w:r>
        <w:t>Do several models share the same hidden assumption?</w:t>
      </w:r>
    </w:p>
    <w:p>
      <w:pPr>
        <w:pStyle w:val="ListBullet"/>
      </w:pPr>
      <w:r>
        <w:t>Does prompt refinement make outputs better or only longer?</w:t>
      </w:r>
    </w:p>
    <w:p>
      <w:pPr>
        <w:pStyle w:val="ListBullet"/>
      </w:pPr>
      <w:r>
        <w:t>Does respondent diversity actually add information?</w:t>
      </w:r>
    </w:p>
    <w:p>
      <w:pPr>
        <w:pStyle w:val="ListBullet"/>
      </w:pPr>
      <w:r>
        <w:t>When does the Council become slower and more expensive than useful?</w:t>
      </w:r>
    </w:p>
    <w:p>
      <w:pPr>
        <w:pStyle w:val="Heading1"/>
      </w:pPr>
      <w:r>
        <w:t>8. Non-goals for v1</w:t>
      </w:r>
    </w:p>
    <w:p>
      <w:pPr>
        <w:pStyle w:val="ListBullet"/>
      </w:pPr>
      <w:r>
        <w:t>Autonomous decision-making.</w:t>
      </w:r>
    </w:p>
    <w:p>
      <w:pPr>
        <w:pStyle w:val="ListBullet"/>
      </w:pPr>
      <w:r>
        <w:t>Persistent personal memory.</w:t>
      </w:r>
    </w:p>
    <w:p>
      <w:pPr>
        <w:pStyle w:val="ListBullet"/>
      </w:pPr>
      <w:r>
        <w:t>Complex agents.</w:t>
      </w:r>
    </w:p>
    <w:p>
      <w:pPr>
        <w:pStyle w:val="ListBullet"/>
      </w:pPr>
      <w:r>
        <w:t>Automatic web research.</w:t>
      </w:r>
    </w:p>
    <w:p>
      <w:pPr>
        <w:pStyle w:val="ListBullet"/>
      </w:pPr>
      <w:r>
        <w:t>Public multi-user product.</w:t>
      </w:r>
    </w:p>
    <w:p>
      <w:pPr>
        <w:pStyle w:val="ListBullet"/>
      </w:pPr>
      <w:r>
        <w:t>Leaderboards/rankings of models.</w:t>
      </w:r>
    </w:p>
    <w:p>
      <w:pPr>
        <w:pStyle w:val="Heading1"/>
      </w:pPr>
      <w:r>
        <w:t>9. Exit criteria</w:t>
      </w:r>
    </w:p>
    <w:p>
      <w:r>
        <w:t>Keep the Council as a personal tool if it repeatedly helps on ambiguous or important tasks. Keep routing outside the Council. If direct single-model calls are usually sufficient, do not force Council usage.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