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Plan: Starting an IT Services Business in Poland</w:t>
      </w:r>
    </w:p>
    <w:p>
      <w:r>
        <w:rPr>
          <w:i/>
          <w:sz w:val="22"/>
        </w:rPr>
        <w:t>Validation-first plan for testing a small IT-services business using websites, automation, integrations, internal tools, and AI where useful</w:t>
      </w:r>
    </w:p>
    <w:p>
      <w:r>
        <w:rPr>
          <w:b/>
        </w:rPr>
        <w:t xml:space="preserve">Working rule: </w:t>
      </w:r>
      <w:r>
        <w:t>Prefer a small finished vertical slice over speculative infrastructure. Use the detailed phase prompts with Codex; update the plan only when evidence changes the design.</w:t>
      </w:r>
    </w:p>
    <w:p>
      <w:pPr>
        <w:pStyle w:val="Heading1"/>
      </w:pPr>
      <w:r>
        <w:t>1. Strategic premise</w:t>
      </w:r>
    </w:p>
    <w:p>
      <w:r>
        <w:t>Do not start with “I build websites” as the whole business model. Start with a specific customer problem. Use websites, Python/backend development, integrations, automation, data processing, and AI as delivery tools.</w:t>
      </w:r>
    </w:p>
    <w:p>
      <w:r>
        <w:t>Strategic premise: the business must make sense without grants. Funding can reduce the cost of a validated plan, but should never be the reason the plan exists.</w:t>
      </w:r>
    </w:p>
    <w:p>
      <w:pPr>
        <w:pStyle w:val="Heading1"/>
      </w:pPr>
      <w:r>
        <w:t>2. Candidate service directions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024"/>
            <w:shd w:fill="D9EAF7"/>
            <w:tcMar>
              <w:top w:w="90" w:type="dxa"/>
              <w:start w:w="110" w:type="dxa"/>
              <w:bottom w:w="90" w:type="dxa"/>
              <w:end w:w="110" w:type="dxa"/>
            </w:tcMar>
            <w:vAlign w:val="center"/>
          </w:tcPr>
          <w:p>
            <w:r>
              <w:rPr>
                <w:b/>
              </w:rPr>
              <w:t>Service</w:t>
            </w:r>
          </w:p>
        </w:tc>
        <w:tc>
          <w:tcPr>
            <w:tcW w:type="dxa" w:w="5904"/>
            <w:shd w:fill="D9EAF7"/>
            <w:tcMar>
              <w:top w:w="90" w:type="dxa"/>
              <w:start w:w="110" w:type="dxa"/>
              <w:bottom w:w="90" w:type="dxa"/>
              <w:end w:w="110" w:type="dxa"/>
            </w:tcMar>
            <w:vAlign w:val="center"/>
          </w:tcPr>
          <w:p>
            <w:r>
              <w:rPr>
                <w:b/>
              </w:rPr>
              <w:t>Fit / caution</w:t>
            </w:r>
          </w:p>
        </w:tc>
      </w:tr>
      <w:tr>
        <w:tc>
          <w:tcPr>
            <w:tcW w:type="dxa" w:w="3024"/>
            <w:tcMar>
              <w:top w:w="90" w:type="dxa"/>
              <w:start w:w="110" w:type="dxa"/>
              <w:bottom w:w="90" w:type="dxa"/>
              <w:end w:w="110" w:type="dxa"/>
            </w:tcMar>
            <w:vAlign w:val="top"/>
          </w:tcPr>
          <w:p>
            <w:r>
              <w:t>Business websites</w:t>
            </w:r>
          </w:p>
        </w:tc>
        <w:tc>
          <w:tcPr>
            <w:tcW w:type="dxa" w:w="5904"/>
            <w:tcMar>
              <w:top w:w="90" w:type="dxa"/>
              <w:start w:w="110" w:type="dxa"/>
              <w:bottom w:w="90" w:type="dxa"/>
              <w:end w:w="110" w:type="dxa"/>
            </w:tcMar>
            <w:vAlign w:val="top"/>
          </w:tcPr>
          <w:p>
            <w:r>
              <w:t>Easy entry point, but highly competitive; avoid competing only on price.</w:t>
            </w:r>
          </w:p>
        </w:tc>
      </w:tr>
      <w:tr>
        <w:tc>
          <w:tcPr>
            <w:tcW w:type="dxa" w:w="3024"/>
            <w:tcMar>
              <w:top w:w="90" w:type="dxa"/>
              <w:start w:w="110" w:type="dxa"/>
              <w:bottom w:w="90" w:type="dxa"/>
              <w:end w:w="110" w:type="dxa"/>
            </w:tcMar>
            <w:vAlign w:val="top"/>
          </w:tcPr>
          <w:p>
            <w:r>
              <w:t>Website + maintenance</w:t>
            </w:r>
          </w:p>
        </w:tc>
        <w:tc>
          <w:tcPr>
            <w:tcW w:type="dxa" w:w="5904"/>
            <w:tcMar>
              <w:top w:w="90" w:type="dxa"/>
              <w:start w:w="110" w:type="dxa"/>
              <w:bottom w:w="90" w:type="dxa"/>
              <w:end w:w="110" w:type="dxa"/>
            </w:tcMar>
            <w:vAlign w:val="top"/>
          </w:tcPr>
          <w:p>
            <w:r>
              <w:t>Can create recurring revenue and ongoing client relationship.</w:t>
            </w:r>
          </w:p>
        </w:tc>
      </w:tr>
      <w:tr>
        <w:tc>
          <w:tcPr>
            <w:tcW w:type="dxa" w:w="3024"/>
            <w:tcMar>
              <w:top w:w="90" w:type="dxa"/>
              <w:start w:w="110" w:type="dxa"/>
              <w:bottom w:w="90" w:type="dxa"/>
              <w:end w:w="110" w:type="dxa"/>
            </w:tcMar>
            <w:vAlign w:val="top"/>
          </w:tcPr>
          <w:p>
            <w:r>
              <w:t>Process automation</w:t>
            </w:r>
          </w:p>
        </w:tc>
        <w:tc>
          <w:tcPr>
            <w:tcW w:type="dxa" w:w="5904"/>
            <w:tcMar>
              <w:top w:w="90" w:type="dxa"/>
              <w:start w:w="110" w:type="dxa"/>
              <w:bottom w:w="90" w:type="dxa"/>
              <w:end w:w="110" w:type="dxa"/>
            </w:tcMar>
            <w:vAlign w:val="top"/>
          </w:tcPr>
          <w:p>
            <w:r>
              <w:t>Strong fit: forms, emails, spreadsheets, reporting, scheduled jobs, data transfer.</w:t>
            </w:r>
          </w:p>
        </w:tc>
      </w:tr>
      <w:tr>
        <w:tc>
          <w:tcPr>
            <w:tcW w:type="dxa" w:w="3024"/>
            <w:tcMar>
              <w:top w:w="90" w:type="dxa"/>
              <w:start w:w="110" w:type="dxa"/>
              <w:bottom w:w="90" w:type="dxa"/>
              <w:end w:w="110" w:type="dxa"/>
            </w:tcMar>
            <w:vAlign w:val="top"/>
          </w:tcPr>
          <w:p>
            <w:r>
              <w:t>API/integration work</w:t>
            </w:r>
          </w:p>
        </w:tc>
        <w:tc>
          <w:tcPr>
            <w:tcW w:type="dxa" w:w="5904"/>
            <w:tcMar>
              <w:top w:w="90" w:type="dxa"/>
              <w:start w:w="110" w:type="dxa"/>
              <w:bottom w:w="90" w:type="dxa"/>
              <w:end w:w="110" w:type="dxa"/>
            </w:tcMar>
            <w:vAlign w:val="top"/>
          </w:tcPr>
          <w:p>
            <w:r>
              <w:t>Strong backend fit; solve a concrete handoff/integration problem.</w:t>
            </w:r>
          </w:p>
        </w:tc>
      </w:tr>
      <w:tr>
        <w:tc>
          <w:tcPr>
            <w:tcW w:type="dxa" w:w="3024"/>
            <w:tcMar>
              <w:top w:w="90" w:type="dxa"/>
              <w:start w:w="110" w:type="dxa"/>
              <w:bottom w:w="90" w:type="dxa"/>
              <w:end w:w="110" w:type="dxa"/>
            </w:tcMar>
            <w:vAlign w:val="top"/>
          </w:tcPr>
          <w:p>
            <w:r>
              <w:t>Internal tools</w:t>
            </w:r>
          </w:p>
        </w:tc>
        <w:tc>
          <w:tcPr>
            <w:tcW w:type="dxa" w:w="5904"/>
            <w:tcMar>
              <w:top w:w="90" w:type="dxa"/>
              <w:start w:w="110" w:type="dxa"/>
              <w:bottom w:w="90" w:type="dxa"/>
              <w:end w:w="110" w:type="dxa"/>
            </w:tcMar>
            <w:vAlign w:val="top"/>
          </w:tcPr>
          <w:p>
            <w:r>
              <w:t>Dashboards, CRUD tools, data-processing utilities; potentially higher-value than brochure sites.</w:t>
            </w:r>
          </w:p>
        </w:tc>
      </w:tr>
      <w:tr>
        <w:tc>
          <w:tcPr>
            <w:tcW w:type="dxa" w:w="3024"/>
            <w:tcMar>
              <w:top w:w="90" w:type="dxa"/>
              <w:start w:w="110" w:type="dxa"/>
              <w:bottom w:w="90" w:type="dxa"/>
              <w:end w:w="110" w:type="dxa"/>
            </w:tcMar>
            <w:vAlign w:val="top"/>
          </w:tcPr>
          <w:p>
            <w:r>
              <w:t>AI integration</w:t>
            </w:r>
          </w:p>
        </w:tc>
        <w:tc>
          <w:tcPr>
            <w:tcW w:type="dxa" w:w="5904"/>
            <w:tcMar>
              <w:top w:w="90" w:type="dxa"/>
              <w:start w:w="110" w:type="dxa"/>
              <w:bottom w:w="90" w:type="dxa"/>
              <w:end w:w="110" w:type="dxa"/>
            </w:tcMar>
            <w:vAlign w:val="top"/>
          </w:tcPr>
          <w:p>
            <w:r>
              <w:t>Document extraction, classification, drafting, search, local/private AI; requires strong reliability/privacy controls.</w:t>
            </w:r>
          </w:p>
        </w:tc>
      </w:tr>
    </w:tbl>
    <w:p>
      <w:pPr>
        <w:pStyle w:val="Heading1"/>
      </w:pPr>
      <w:r>
        <w:t>3. Validation before commitment</w:t>
      </w:r>
    </w:p>
    <w:p>
      <w:r>
        <w:t>[ ] Pick 2-3 candidate customer segments.</w:t>
      </w:r>
    </w:p>
    <w:p>
      <w:r>
        <w:t>[ ] Interview 20-30 real businesses or decision makers.</w:t>
      </w:r>
    </w:p>
    <w:p>
      <w:r>
        <w:t>[ ] Ask about repetitive manual work, system handoffs, reporting, customer inquiries, spreadsheets, and software pain.</w:t>
      </w:r>
    </w:p>
    <w:p>
      <w:r>
        <w:t>[ ] Record current workaround, cost/time, urgency, buying process, budget signals, and objections.</w:t>
      </w:r>
    </w:p>
    <w:p>
      <w:r>
        <w:t>[ ] Do not lead with your preferred technology.</w:t>
      </w:r>
    </w:p>
    <w:p>
      <w:r>
        <w:t>[ ] Choose one narrow outcome for the first paid pilot.</w:t>
      </w:r>
    </w:p>
    <w:p>
      <w:r>
        <w:t>Definition of done: you can state exactly who you help, which painful workflow you improve, and what measurable result the client should receive — or you have evidence to discard/change the idea.</w:t>
      </w:r>
    </w:p>
    <w:p>
      <w:pPr>
        <w:pStyle w:val="Heading2"/>
      </w:pPr>
      <w:r>
        <w:t>Codex prompt — market-validation support</w:t>
      </w:r>
    </w:p>
    <w:p>
      <w:pPr>
        <w:keepLines/>
        <w:spacing w:before="40" w:after="120"/>
        <w:ind w:left="115" w:right="115"/>
        <w:shd w:fill="F4F6F7"/>
      </w:pPr>
      <w:r>
        <w:rPr>
          <w:rFonts w:ascii="Aptos Mono" w:hAnsi="Aptos Mono"/>
          <w:sz w:val="18"/>
        </w:rPr>
        <w:t>Help me prepare for customer discovery for a small Polish IT-services business.</w:t>
        <w:br/>
        <w:t>My capabilities: Python/backend development, APIs/integrations, automation, websites, data processing, Docker, and AI integration.</w:t>
        <w:br/>
        <w:t>I do NOT want to assume that “AI” or “websites” is what customers want.</w:t>
        <w:br/>
        <w:t>Create:</w:t>
        <w:br/>
        <w:t>1. 2-3 plausible customer segments to investigate.</w:t>
        <w:br/>
        <w:t>2. Hypotheses about operational pain points for each segment.</w:t>
        <w:br/>
        <w:t>3. Neutral interview questions that discover pain without pitching a solution.</w:t>
        <w:br/>
        <w:t>4. A simple table for recording pain, current workaround, cost/time, urgency, budget signal, and objections.</w:t>
        <w:br/>
        <w:t>5. A decision rule for choosing which problem deserves a paid pilot.</w:t>
        <w:br/>
        <w:t>Keep hypotheses clearly labelled as hypotheses.</w:t>
      </w:r>
    </w:p>
    <w:p>
      <w:pPr>
        <w:pStyle w:val="Heading1"/>
      </w:pPr>
      <w:r>
        <w:t>4. Phases</w:t>
      </w:r>
    </w:p>
    <w:p>
      <w:pPr>
        <w:pStyle w:val="Heading2"/>
      </w:pPr>
      <w:r>
        <w:t>Phase 1 — Choose a narrow segment</w:t>
      </w:r>
    </w:p>
    <w:p>
      <w:r>
        <w:t>[ ] Select 2-3 segments for investigation.</w:t>
      </w:r>
    </w:p>
    <w:p>
      <w:r>
        <w:t>[ ] List the workflows where your technical skills could plausibly help.</w:t>
      </w:r>
    </w:p>
    <w:p>
      <w:r>
        <w:t>[ ] Identify existing alternatives/competitors.</w:t>
      </w:r>
    </w:p>
    <w:p>
      <w:r>
        <w:t>[ ] Write falsifiable hypotheses about customer pain.</w:t>
      </w:r>
    </w:p>
    <w:p>
      <w:pPr>
        <w:pStyle w:val="Heading2"/>
      </w:pPr>
      <w:r>
        <w:t>Phase 2 — Validate demand</w:t>
      </w:r>
    </w:p>
    <w:p>
      <w:r>
        <w:t>[ ] Complete the interview/discovery target.</w:t>
      </w:r>
    </w:p>
    <w:p>
      <w:r>
        <w:t>[ ] Look for repeated problems rather than isolated anecdotes.</w:t>
      </w:r>
    </w:p>
    <w:p>
      <w:r>
        <w:t>[ ] Identify whether the problem already has a paid workaround.</w:t>
      </w:r>
    </w:p>
    <w:p>
      <w:r>
        <w:t>[ ] Find at least 1-3 serious pilot conversations.</w:t>
      </w:r>
    </w:p>
    <w:p>
      <w:r>
        <w:t>Definition of done: either there is evidence of willingness to pay for a defined outcome, or the offer is changed/rejected.</w:t>
      </w:r>
    </w:p>
    <w:p>
      <w:pPr>
        <w:pStyle w:val="Heading2"/>
      </w:pPr>
      <w:r>
        <w:t>Phase 3 — Design the starter offer</w:t>
      </w:r>
    </w:p>
    <w:p>
      <w:r>
        <w:t>[ ] Sell an outcome, not generic coding hours.</w:t>
      </w:r>
    </w:p>
    <w:p>
      <w:r>
        <w:t>[ ] Define scope, exclusions, timeline, client inputs, and support.</w:t>
      </w:r>
    </w:p>
    <w:p>
      <w:r>
        <w:t>[ ] Price to cover delivery, software, taxes, overhead, support, and risk.</w:t>
      </w:r>
    </w:p>
    <w:p>
      <w:r>
        <w:t>[ ] Prepare a simple quote and draft contract structure.</w:t>
      </w:r>
    </w:p>
    <w:p>
      <w:r>
        <w:t>Examples: automate one repetitive workflow; connect two existing systems; build a small internal dashboard; build and maintain a business website.</w:t>
      </w:r>
    </w:p>
    <w:p>
      <w:pPr>
        <w:pStyle w:val="Heading2"/>
      </w:pPr>
      <w:r>
        <w:t>Codex prompt — offer design</w:t>
      </w:r>
    </w:p>
    <w:p>
      <w:pPr>
        <w:keepLines/>
        <w:spacing w:before="40" w:after="120"/>
        <w:ind w:left="115" w:right="115"/>
        <w:shd w:fill="F4F6F7"/>
      </w:pPr>
      <w:r>
        <w:rPr>
          <w:rFonts w:ascii="Aptos Mono" w:hAnsi="Aptos Mono"/>
          <w:sz w:val="18"/>
        </w:rPr>
        <w:t>Turn one validated business problem into a small paid IT-services offer.</w:t>
        <w:br/>
        <w:t>Inputs I will provide:</w:t>
        <w:br/>
        <w:t>- target customer,</w:t>
        <w:br/>
        <w:t>- painful workflow,</w:t>
        <w:br/>
        <w:t>- current workaround,</w:t>
        <w:br/>
        <w:t>- desired outcome,</w:t>
        <w:br/>
        <w:t>- constraints.</w:t>
        <w:br/>
        <w:t>Create:</w:t>
        <w:br/>
        <w:t>- one-sentence value proposition,</w:t>
        <w:br/>
        <w:t>- deliverables,</w:t>
        <w:br/>
        <w:t>- explicit exclusions,</w:t>
        <w:br/>
        <w:t>- client responsibilities,</w:t>
        <w:br/>
        <w:t>- implementation stages,</w:t>
        <w:br/>
        <w:t>- acceptance criteria,</w:t>
        <w:br/>
        <w:t>- support/maintenance boundary,</w:t>
        <w:br/>
        <w:t>- pricing structure to validate (not a final price).</w:t>
        <w:br/>
        <w:t>Do not add impressive-sounding AI features unless they solve the validated problem.</w:t>
      </w:r>
    </w:p>
    <w:p>
      <w:pPr>
        <w:pStyle w:val="Heading2"/>
      </w:pPr>
      <w:r>
        <w:t>Phase 4 — Deliver the first paid pilot</w:t>
      </w:r>
    </w:p>
    <w:p>
      <w:r>
        <w:t>[ ] Get the scope accepted in writing.</w:t>
      </w:r>
    </w:p>
    <w:p>
      <w:r>
        <w:t>[ ] Minimize custom work.</w:t>
      </w:r>
    </w:p>
    <w:p>
      <w:r>
        <w:t>[ ] Track actual delivery time and third-party costs.</w:t>
      </w:r>
    </w:p>
    <w:p>
      <w:r>
        <w:t>[ ] Document handoff and operational responsibilities.</w:t>
      </w:r>
    </w:p>
    <w:p>
      <w:r>
        <w:t>[ ] Collect client feedback on measurable outcome and pain reduction.</w:t>
      </w:r>
    </w:p>
    <w:p>
      <w:r>
        <w:t>Definition of done: the client receives the promised outcome and you know the real economics of delivering it.</w:t>
      </w:r>
    </w:p>
    <w:p>
      <w:pPr>
        <w:pStyle w:val="Heading2"/>
      </w:pPr>
      <w:r>
        <w:t>Phase 5 — Decide whether to formalize/scale</w:t>
      </w:r>
    </w:p>
    <w:p>
      <w:r>
        <w:t>[ ] Check whether a legal business is necessary for the intended activity.</w:t>
      </w:r>
    </w:p>
    <w:p>
      <w:r>
        <w:t>[ ] Review current PUP eligibility/rules before registering if startup funding might matter.</w:t>
      </w:r>
    </w:p>
    <w:p>
      <w:r>
        <w:t>[ ] Check whether działalność nierejestrowana is applicable to the intended test.</w:t>
      </w:r>
    </w:p>
    <w:p>
      <w:r>
        <w:t>[ ] Consult an accountant/tax adviser about JDG/other form, tax, VAT, ZUS, and invoicing.</w:t>
      </w:r>
    </w:p>
    <w:p>
      <w:r>
        <w:t>[ ] Define client contract, GDPR, security, credential handling, backups, and offboarding procedures.</w:t>
      </w:r>
    </w:p>
    <w:p>
      <w:r>
        <w:t>[ ] Build a basic financial model that works without grants.</w:t>
      </w:r>
    </w:p>
    <w:p>
      <w:r>
        <w:t>[ ] Only then choose the registration/funding path.</w:t>
      </w:r>
    </w:p>
    <w:p>
      <w:pPr>
        <w:pStyle w:val="Heading1"/>
      </w:pPr>
      <w:r>
        <w:t>5. Poland legal/admin workstream</w:t>
      </w:r>
    </w:p>
    <w:p>
      <w:pPr>
        <w:pStyle w:val="ListBullet"/>
      </w:pPr>
      <w:r>
        <w:t>Define the actual service scope before selecting PKD 2025 codes; PKD 2025 applies to new entries/changes from 1 January 2025.</w:t>
      </w:r>
    </w:p>
    <w:p>
      <w:pPr>
        <w:pStyle w:val="ListBullet"/>
      </w:pPr>
      <w:r>
        <w:t>Choose the legal form and tax treatment with professional advice appropriate to the expected activity and risk.</w:t>
      </w:r>
    </w:p>
    <w:p>
      <w:pPr>
        <w:pStyle w:val="ListBullet"/>
      </w:pPr>
      <w:r>
        <w:t>Set up invoicing/bookkeeping and understand VAT/ZUS obligations before billing.</w:t>
      </w:r>
    </w:p>
    <w:p>
      <w:pPr>
        <w:pStyle w:val="ListBullet"/>
      </w:pPr>
      <w:r>
        <w:t>Use written agreements covering scope, acceptance, payment, intellectual property, support, liability, and termination.</w:t>
      </w:r>
    </w:p>
    <w:p>
      <w:pPr>
        <w:pStyle w:val="ListBullet"/>
      </w:pPr>
      <w:r>
        <w:t>For websites, hosting, databases, forms, or integrations involving personal data, determine controller/processor roles and documentation before processing client data.</w:t>
      </w:r>
    </w:p>
    <w:p>
      <w:pPr>
        <w:pStyle w:val="ListBullet"/>
      </w:pPr>
      <w:r>
        <w:t>Protect client credentials/API keys and define access, backups, logging, and offboarding.</w:t>
      </w:r>
    </w:p>
    <w:p>
      <w:pPr>
        <w:pStyle w:val="Heading1"/>
      </w:pPr>
      <w:r>
        <w:t>6. Low-risk market test</w:t>
      </w:r>
    </w:p>
    <w:p>
      <w:r>
        <w:t>Działalność nierejestrowana may be a possible small-scale testing route when its legal conditions are met. The prior research recorded a 2026 quarterly revenue limit of 10,813.50 zł (225% of the minimum wage) and a condition concerning not having conducted business activity during the previous 60 months. Re-check the exact rules before relying on this route, especially where another public-support or unemployment status is involved.</w:t>
      </w:r>
    </w:p>
    <w:p>
      <w:pPr>
        <w:pStyle w:val="Heading1"/>
      </w:pPr>
      <w:r>
        <w:t>7. Funding/support research</w:t>
      </w:r>
    </w:p>
    <w:p>
      <w:r>
        <w:t>Current planning reference: the previous research for this document was checked on 16 September 2026. Re-check the exact local rules and programme calls immediately before acting.</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D9EAF7"/>
            <w:tcMar>
              <w:top w:w="90" w:type="dxa"/>
              <w:start w:w="110" w:type="dxa"/>
              <w:bottom w:w="90" w:type="dxa"/>
              <w:end w:w="110" w:type="dxa"/>
            </w:tcMar>
            <w:vAlign w:val="center"/>
          </w:tcPr>
          <w:p>
            <w:r>
              <w:rPr>
                <w:b/>
              </w:rPr>
              <w:t>Instrument</w:t>
            </w:r>
          </w:p>
        </w:tc>
        <w:tc>
          <w:tcPr>
            <w:tcW w:type="dxa" w:w="6048"/>
            <w:shd w:fill="D9EAF7"/>
            <w:tcMar>
              <w:top w:w="90" w:type="dxa"/>
              <w:start w:w="110" w:type="dxa"/>
              <w:bottom w:w="90" w:type="dxa"/>
              <w:end w:w="110" w:type="dxa"/>
            </w:tcMar>
            <w:vAlign w:val="center"/>
          </w:tcPr>
          <w:p>
            <w:r>
              <w:rPr>
                <w:b/>
              </w:rPr>
              <w:t>How to use it in the plan</w:t>
            </w:r>
          </w:p>
        </w:tc>
      </w:tr>
      <w:tr>
        <w:tc>
          <w:tcPr>
            <w:tcW w:type="dxa" w:w="2880"/>
            <w:tcMar>
              <w:top w:w="90" w:type="dxa"/>
              <w:start w:w="110" w:type="dxa"/>
              <w:bottom w:w="90" w:type="dxa"/>
              <w:end w:w="110" w:type="dxa"/>
            </w:tcMar>
            <w:vAlign w:val="top"/>
          </w:tcPr>
          <w:p>
            <w:r>
              <w:t>PUP startup support</w:t>
            </w:r>
          </w:p>
        </w:tc>
        <w:tc>
          <w:tcPr>
            <w:tcW w:type="dxa" w:w="6048"/>
            <w:tcMar>
              <w:top w:w="90" w:type="dxa"/>
              <w:start w:w="110" w:type="dxa"/>
              <w:bottom w:w="90" w:type="dxa"/>
              <w:end w:w="110" w:type="dxa"/>
            </w:tcMar>
            <w:vAlign w:val="top"/>
          </w:tcPr>
          <w:p>
            <w:r>
              <w:t>Check eligibility, local rules, intake timing, allowed expenses, and post-grant obligations before registering if this route matters.</w:t>
            </w:r>
          </w:p>
        </w:tc>
      </w:tr>
      <w:tr>
        <w:tc>
          <w:tcPr>
            <w:tcW w:type="dxa" w:w="2880"/>
            <w:tcMar>
              <w:top w:w="90" w:type="dxa"/>
              <w:start w:w="110" w:type="dxa"/>
              <w:bottom w:w="90" w:type="dxa"/>
              <w:end w:w="110" w:type="dxa"/>
            </w:tcMar>
            <w:vAlign w:val="top"/>
          </w:tcPr>
          <w:p>
            <w:r>
              <w:t>WRO4digITal / EDIH</w:t>
            </w:r>
          </w:p>
        </w:tc>
        <w:tc>
          <w:tcPr>
            <w:tcW w:type="dxa" w:w="6048"/>
            <w:tcMar>
              <w:top w:w="90" w:type="dxa"/>
              <w:start w:w="110" w:type="dxa"/>
              <w:bottom w:w="90" w:type="dxa"/>
              <w:end w:w="110" w:type="dxa"/>
            </w:tcMar>
            <w:vAlign w:val="top"/>
          </w:tcPr>
          <w:p>
            <w:r>
              <w:t>Use for digitalisation advice, technology validation, training, networking, and understanding SME needs.</w:t>
            </w:r>
          </w:p>
        </w:tc>
      </w:tr>
      <w:tr>
        <w:tc>
          <w:tcPr>
            <w:tcW w:type="dxa" w:w="2880"/>
            <w:tcMar>
              <w:top w:w="90" w:type="dxa"/>
              <w:start w:w="110" w:type="dxa"/>
              <w:bottom w:w="90" w:type="dxa"/>
              <w:end w:w="110" w:type="dxa"/>
            </w:tcMar>
            <w:vAlign w:val="top"/>
          </w:tcPr>
          <w:p>
            <w:r>
              <w:t>PARP/FENG programmes</w:t>
            </w:r>
          </w:p>
        </w:tc>
        <w:tc>
          <w:tcPr>
            <w:tcW w:type="dxa" w:w="6048"/>
            <w:tcMar>
              <w:top w:w="90" w:type="dxa"/>
              <w:start w:w="110" w:type="dxa"/>
              <w:bottom w:w="90" w:type="dxa"/>
              <w:end w:w="110" w:type="dxa"/>
            </w:tcMar>
            <w:vAlign w:val="top"/>
          </w:tcPr>
          <w:p>
            <w:r>
              <w:t>Track current digitalisation/innovation instruments once the business or project is sufficiently defined.</w:t>
            </w:r>
          </w:p>
        </w:tc>
      </w:tr>
      <w:tr>
        <w:tc>
          <w:tcPr>
            <w:tcW w:type="dxa" w:w="2880"/>
            <w:tcMar>
              <w:top w:w="90" w:type="dxa"/>
              <w:start w:w="110" w:type="dxa"/>
              <w:bottom w:w="90" w:type="dxa"/>
              <w:end w:w="110" w:type="dxa"/>
            </w:tcMar>
            <w:vAlign w:val="top"/>
          </w:tcPr>
          <w:p>
            <w:r>
              <w:t>Startup programmes</w:t>
            </w:r>
          </w:p>
        </w:tc>
        <w:tc>
          <w:tcPr>
            <w:tcW w:type="dxa" w:w="6048"/>
            <w:tcMar>
              <w:top w:w="90" w:type="dxa"/>
              <w:start w:w="110" w:type="dxa"/>
              <w:bottom w:w="90" w:type="dxa"/>
              <w:end w:w="110" w:type="dxa"/>
            </w:tcMar>
            <w:vAlign w:val="top"/>
          </w:tcPr>
          <w:p>
            <w:r>
              <w:t>Consider only if the activity evolves toward a genuinely scalable product/company.</w:t>
            </w:r>
          </w:p>
        </w:tc>
      </w:tr>
    </w:tbl>
    <w:p>
      <w:pPr>
        <w:pStyle w:val="Heading2"/>
      </w:pPr>
      <w:r>
        <w:t>Current sources to re-check before acting</w:t>
      </w:r>
    </w:p>
    <w:p>
      <w:pPr>
        <w:pStyle w:val="ListBullet"/>
      </w:pPr>
      <w:r>
        <w:t>GUS: Information Society in Poland 2025.</w:t>
      </w:r>
    </w:p>
    <w:p>
      <w:pPr>
        <w:pStyle w:val="ListBullet"/>
      </w:pPr>
      <w:r>
        <w:t>Biznes.gov.pl: działalność nierejestrowana.</w:t>
      </w:r>
    </w:p>
    <w:p>
      <w:pPr>
        <w:pStyle w:val="ListBullet"/>
      </w:pPr>
      <w:r>
        <w:t>Biznes.gov.pl: PKD 2025.</w:t>
      </w:r>
    </w:p>
    <w:p>
      <w:pPr>
        <w:pStyle w:val="ListBullet"/>
      </w:pPr>
      <w:r>
        <w:t>PARP: EDIH / WRO4digITal ecosystem.</w:t>
      </w:r>
    </w:p>
    <w:p>
      <w:pPr>
        <w:pStyle w:val="ListBullet"/>
      </w:pPr>
      <w:r>
        <w:t>PARP: Fundusze Europejskie dla Nowoczesnej Gospodarki and current digitalisation instruments.</w:t>
      </w:r>
    </w:p>
    <w:p>
      <w:pPr>
        <w:pStyle w:val="ListBullet"/>
      </w:pPr>
      <w:r>
        <w:t>PSZ/PUP: current rates, local startup-support rules, intake dates, and post-grant obligations.</w:t>
      </w:r>
    </w:p>
    <w:p>
      <w:r>
        <w:t>The prior research recorded a national PUP statutory ceiling of up to 600% of average remuneration and a reported 55,398.78 zł figure from 1 September 2026; the local PUP rules determine the practical amount and conditions.</w:t>
      </w:r>
    </w:p>
    <w:p>
      <w:r>
        <w:t>Reference URLs: https://biznes.gov.pl/pl/portal/00106 ; https://biznes.gov.pl/pl/portal/00119 ; https://www.parp.gov.pl/component/site/site/edih ; https://www.parp.gov.pl/feng ; https://www.parp.gov.pl/component/grants/grants/pozyczki-na-cyfrowa-i-zielona-transformacje-przedsiebiorstw ; https://bartoszyce.praca.gov.pl/web/wojewodzki-urzad-pracy-w-rzeszowie/rynek-pracy/stawki-kwoty-wskazniki</w:t>
      </w:r>
    </w:p>
    <w:p>
      <w:pPr>
        <w:pStyle w:val="Heading1"/>
      </w:pPr>
      <w:r>
        <w:t>8. Business decision gates</w:t>
      </w:r>
    </w:p>
    <w:p>
      <w:pPr>
        <w:pStyle w:val="ListNumber"/>
      </w:pPr>
      <w:r>
        <w:t>Problem gate: a recurring customer problem is confirmed.</w:t>
      </w:r>
    </w:p>
    <w:p>
      <w:pPr>
        <w:pStyle w:val="ListNumber"/>
      </w:pPr>
      <w:r>
        <w:t>Offer gate: one narrow service is explainable and scoping is clear.</w:t>
      </w:r>
    </w:p>
    <w:p>
      <w:pPr>
        <w:pStyle w:val="ListNumber"/>
      </w:pPr>
      <w:r>
        <w:t>Payment gate: at least one customer agrees to a paid pilot/discovery.</w:t>
      </w:r>
    </w:p>
    <w:p>
      <w:pPr>
        <w:pStyle w:val="ListNumber"/>
      </w:pPr>
      <w:r>
        <w:t>Delivery gate: the work can be delivered without unsustainable custom effort.</w:t>
      </w:r>
    </w:p>
    <w:p>
      <w:pPr>
        <w:pStyle w:val="ListNumber"/>
      </w:pPr>
      <w:r>
        <w:t>Economics gate: expected price covers full delivery and business costs.</w:t>
      </w:r>
    </w:p>
    <w:p>
      <w:pPr>
        <w:pStyle w:val="ListNumber"/>
      </w:pPr>
      <w:r>
        <w:t>Setup gate: only then choose the legal/funding route and register if appropriate.</w:t>
      </w:r>
    </w:p>
    <w:p>
      <w:pPr>
        <w:pStyle w:val="Heading1"/>
      </w:pPr>
      <w:r>
        <w:t>9. How the AI projects can support the business later</w:t>
      </w:r>
    </w:p>
    <w:p>
      <w:pPr>
        <w:pStyle w:val="ListBullet"/>
      </w:pPr>
      <w:r>
        <w:t>Local/private AI can be a delivery option where privacy requirements justify it.</w:t>
      </w:r>
    </w:p>
    <w:p>
      <w:pPr>
        <w:pStyle w:val="ListBullet"/>
      </w:pPr>
      <w:r>
        <w:t>The AI Orchestrator can choose models according to task, cost, latency, and customer policy.</w:t>
      </w:r>
    </w:p>
    <w:p>
      <w:pPr>
        <w:pStyle w:val="ListBullet"/>
      </w:pPr>
      <w:r>
        <w:t>Usage tracking can make multi-provider AI costs visible to you and, where appropriate, to clients.</w:t>
      </w:r>
    </w:p>
    <w:p>
      <w:pPr>
        <w:pStyle w:val="ListBullet"/>
      </w:pPr>
      <w:r>
        <w:t>Your own job-search and Council projects can serve as engineering evidence, but do not oversell prototype capabilities as production guarantees.</w:t>
      </w:r>
    </w:p>
    <w:p>
      <w:pPr>
        <w:pStyle w:val="Heading1"/>
      </w:pPr>
      <w:r>
        <w:t>10. Critical warnings</w:t>
      </w:r>
    </w:p>
    <w:p>
      <w:pPr>
        <w:pStyle w:val="ListBullet"/>
      </w:pPr>
      <w:r>
        <w:t>Do not build a business around grant availability.</w:t>
      </w:r>
    </w:p>
    <w:p>
      <w:pPr>
        <w:pStyle w:val="ListBullet"/>
      </w:pPr>
      <w:r>
        <w:t>Do not assume friends saying “you should start a business” equals market validation.</w:t>
      </w:r>
    </w:p>
    <w:p>
      <w:pPr>
        <w:pStyle w:val="ListBullet"/>
      </w:pPr>
      <w:r>
        <w:t>Do not sell “AI agents” or “orchestration” as the value proposition; sell measurable business outcomes.</w:t>
      </w:r>
    </w:p>
    <w:p>
      <w:pPr>
        <w:pStyle w:val="ListBullet"/>
      </w:pPr>
      <w:r>
        <w:t>Do not accept production AI/data-processing work without appropriate reliability, security, privacy, and contractual controls.</w:t>
      </w:r>
    </w:p>
    <w:p>
      <w:pPr>
        <w:pStyle w:val="Heading1"/>
      </w:pPr>
      <w:r>
        <w:t>11. Exit criteria</w:t>
      </w:r>
    </w:p>
    <w:p>
      <w:r>
        <w:t>The business is worth pursuing when at least one narrow service has demonstrated paid demand, repeatable delivery, and economics that can work without subsidy. Otherwise, retain the learning and either change the offer or keep the job search as the primary route.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