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/11/15/2023</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Florie Mae Cordero</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2023-11-15 from Aedrian Jeao De Torres</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ads</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12</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2093F7C3" w14:textId="02F5051A" w:rsidR="00FE7940" w:rsidRPr="00763A32" w:rsidRDefault="002E614D"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w:t>
            </w:r>
            <w:r>
              <w:rPr>
                <w:rFonts w:ascii="Times New Roman" w:hAnsi="Times New Roman"/>
                <w:color w:val="000000"/>
                <w:sz w:val="24"/>
                <w:szCs w:val="24"/>
              </w:rPr>
              <w:t xml:space="preserve"> </w:t>
            </w:r>
            <w:r w:rsidR="00FE7940" w:rsidRPr="00763A32">
              <w:rPr>
                <w:rFonts w:ascii="Times New Roman" w:hAnsi="Times New Roman"/>
                <w:color w:val="000000"/>
                <w:sz w:val="24"/>
                <w:szCs w:val="24"/>
              </w:rPr>
              <w:t>to wit,</w:t>
            </w:r>
            <w:r w:rsidR="00FE7940">
              <w:rPr>
                <w:rFonts w:ascii="Times New Roman" w:hAnsi="Times New Roman"/>
                <w:color w:val="000000"/>
                <w:sz w:val="24"/>
                <w:szCs w:val="24"/>
              </w:rPr>
              <w:t xml:space="preserve"> asdsad</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Ninfa M. Vergara</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Ninfa M. Vergara</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