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Codex가 Claude와 Gemini를 불러 대화하기</w:t>
      </w:r>
    </w:p>
    <w:p>
      <w:pPr>
        <w:pStyle w:val="Heading1"/>
      </w:pPr>
      <w:r>
        <w:t>1 강의 목적</w:t>
      </w:r>
    </w:p>
    <w:p>
      <w:r>
        <w:t>Codex를 메인 진행자로 사용해 실제 Claude Code를 호출하고, 회신을 읽고, Codex의 답변을 다시 보내 왕복 대화를 이어가는 방법을 보여준다. Gemini는 앞선 대화를 전달받아 다른 관점으로 합류한다. 사용자가 확정한 2시간 핵심 시연형으로 구성했다. 기존 회사 분석은 AI 대화의 소재로 축소했다.</w:t>
      </w:r>
    </w:p>
    <w:p>
      <w:r>
        <w:t>대상은 Attention 참여자이며 파일 열기와 AI 채팅 경험이 있다는 가정으로 설계했다. 전공·코딩 경험은 필수로 두지 않는다. 인원·날짜·장소·예산은 미정이다. 수강생에게 새 계정 구매나 API 키 발급을 요구하지 않는다.</w:t>
      </w:r>
    </w:p>
    <w:p>
      <w:pPr>
        <w:pStyle w:val="Heading1"/>
      </w:pPr>
      <w:r>
        <w:t>2 학습 목표와 확인 기준</w:t>
      </w:r>
    </w:p>
    <w:p>
      <w:r>
        <w:t>학습자는 Codex가 실제 외부 AI를 부르는 경로를 설명하고, 첫 회신을 읽어 다음 질문을 작성하는 과정을 따라갈 수 있다. 종료 시 실제 회신·다음 Codex 발언·전송 범위·남은 사람 판단이 있는지 확인한다. 핵심 성취는 보고서 파일 수가 아니라 실제 연결과 왕복 대화다.</w:t>
      </w:r>
    </w:p>
    <w:p>
      <w:r>
        <w:t>중간에는 첫 회신에서 수용할 점과 되물을 질문을 각각 하나 찾게 한다. 다수가 구분하지 못하면 11번 슬라이드와 실제 회신을 다시 읽는다. 이는 수업 운영을 위한 제안 기준이며 실제 교육 성과를 주장한 것이 아니다.</w:t>
      </w:r>
    </w:p>
    <w:p>
      <w:pPr>
        <w:pStyle w:val="Heading1"/>
      </w:pPr>
      <w:r>
        <w:t>3 120분 운영</w:t>
      </w:r>
    </w:p>
    <w:tbl>
      <w:tblPr>
        <w:tblW w:type="auto" w:w="0"/>
        <w:jc w:val="center"/>
        <w:tblLayout w:type="fixed"/>
        <w:tblLook w:firstColumn="1" w:firstRow="1" w:lastColumn="0" w:lastRow="0" w:noHBand="0" w:noVBand="1" w:val="04A0"/>
      </w:tblPr>
      <w:tblGrid>
        <w:gridCol w:w="1080"/>
        <w:gridCol w:w="936"/>
        <w:gridCol w:w="2808"/>
        <w:gridCol w:w="2592"/>
        <w:gridCol w:w="2578"/>
      </w:tblGrid>
      <w:tr>
        <w:trPr>
          <w:cantSplit/>
          <w:tblHeader/>
        </w:trPr>
        <w:tc>
          <w:tcPr>
            <w:tcW w:type="dxa" w:w="1080"/>
            <w:vAlign w:val="center"/>
            <w:shd w:fill="3D455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color w:val="FFFFFF"/>
                <w:sz w:val="20"/>
              </w:rPr>
              <w:t>구간</w:t>
            </w:r>
          </w:p>
        </w:tc>
        <w:tc>
          <w:tcPr>
            <w:tcW w:type="dxa" w:w="936"/>
            <w:vAlign w:val="center"/>
            <w:shd w:fill="3D455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color w:val="FFFFFF"/>
                <w:sz w:val="20"/>
              </w:rPr>
              <w:t>시간</w:t>
            </w:r>
          </w:p>
        </w:tc>
        <w:tc>
          <w:tcPr>
            <w:tcW w:type="dxa" w:w="2808"/>
            <w:vAlign w:val="center"/>
            <w:shd w:fill="3D455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color w:val="FFFFFF"/>
                <w:sz w:val="20"/>
              </w:rPr>
              <w:t>강사의 시연</w:t>
            </w:r>
          </w:p>
        </w:tc>
        <w:tc>
          <w:tcPr>
            <w:tcW w:type="dxa" w:w="2592"/>
            <w:vAlign w:val="center"/>
            <w:shd w:fill="3D455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color w:val="FFFFFF"/>
                <w:sz w:val="20"/>
              </w:rPr>
              <w:t>학습자의 행동</w:t>
            </w:r>
          </w:p>
        </w:tc>
        <w:tc>
          <w:tcPr>
            <w:tcW w:type="dxa" w:w="2578"/>
            <w:vAlign w:val="center"/>
            <w:shd w:fill="3D455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color w:val="FFFFFF"/>
                <w:sz w:val="20"/>
              </w:rPr>
              <w:t>남길 결과</w:t>
            </w:r>
          </w:p>
        </w:tc>
      </w:tr>
      <w:tr>
        <w:trPr>
          <w:cantSplit/>
        </w:trPr>
        <w:tc>
          <w:tcPr>
            <w:tcW w:type="dxa" w:w="10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목적과 역할</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0~10분</w:t>
            </w:r>
          </w:p>
        </w:tc>
        <w:tc>
          <w:tcPr>
            <w:tcW w:type="dxa" w:w="28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Codex가 진행하는 대화 구조</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메인과 외부 모델 구분</w:t>
            </w:r>
          </w:p>
        </w:tc>
        <w:tc>
          <w:tcPr>
            <w:tcW w:type="dxa" w:w="25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연결 설명</w:t>
            </w:r>
          </w:p>
        </w:tc>
      </w:tr>
      <w:tr>
        <w:trPr>
          <w:cantSplit/>
        </w:trPr>
        <w:tc>
          <w:tcPr>
            <w:tcW w:type="dxa" w:w="108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연결 준비</w:t>
            </w:r>
          </w:p>
        </w:tc>
        <w:tc>
          <w:tcPr>
            <w:tcW w:type="dxa" w:w="93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10~25분</w:t>
            </w:r>
          </w:p>
        </w:tc>
        <w:tc>
          <w:tcPr>
            <w:tcW w:type="dxa" w:w="280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프로그램·로그인·시작문</w:t>
            </w:r>
          </w:p>
        </w:tc>
        <w:tc>
          <w:tcPr>
            <w:tcW w:type="dxa" w:w="259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전달 경로 확인</w:t>
            </w:r>
          </w:p>
        </w:tc>
        <w:tc>
          <w:tcPr>
            <w:tcW w:type="dxa" w:w="257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첫 지시문</w:t>
            </w:r>
          </w:p>
        </w:tc>
      </w:tr>
      <w:tr>
        <w:trPr>
          <w:cantSplit/>
        </w:trPr>
        <w:tc>
          <w:tcPr>
            <w:tcW w:type="dxa" w:w="10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첫 호출</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25~45분</w:t>
            </w:r>
          </w:p>
        </w:tc>
        <w:tc>
          <w:tcPr>
            <w:tcW w:type="dxa" w:w="28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공개 패킷 확인·Claude 호출</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실제 회신에서 질문 찾기</w:t>
            </w:r>
          </w:p>
        </w:tc>
        <w:tc>
          <w:tcPr>
            <w:tcW w:type="dxa" w:w="25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첫 회신</w:t>
            </w:r>
          </w:p>
        </w:tc>
      </w:tr>
      <w:tr>
        <w:trPr>
          <w:cantSplit/>
        </w:trPr>
        <w:tc>
          <w:tcPr>
            <w:tcW w:type="dxa" w:w="108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왕복 대화</w:t>
            </w:r>
          </w:p>
        </w:tc>
        <w:tc>
          <w:tcPr>
            <w:tcW w:type="dxa" w:w="93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45~65분</w:t>
            </w:r>
          </w:p>
        </w:tc>
        <w:tc>
          <w:tcPr>
            <w:tcW w:type="dxa" w:w="280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Codex 답변·Claude 재답변</w:t>
            </w:r>
          </w:p>
        </w:tc>
        <w:tc>
          <w:tcPr>
            <w:tcW w:type="dxa" w:w="259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수용·반박 이유 확인</w:t>
            </w:r>
          </w:p>
        </w:tc>
        <w:tc>
          <w:tcPr>
            <w:tcW w:type="dxa" w:w="257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두 번째 회신</w:t>
            </w:r>
          </w:p>
        </w:tc>
      </w:tr>
      <w:tr>
        <w:trPr>
          <w:cantSplit/>
        </w:trPr>
        <w:tc>
          <w:tcPr>
            <w:tcW w:type="dxa" w:w="10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휴식</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65~70분</w:t>
            </w:r>
          </w:p>
        </w:tc>
        <w:tc>
          <w:tcPr>
            <w:tcW w:type="dxa" w:w="28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다음 시연 환경 확인</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휴식</w:t>
            </w:r>
          </w:p>
        </w:tc>
        <w:tc>
          <w:tcPr>
            <w:tcW w:type="dxa" w:w="25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w:t>
            </w:r>
          </w:p>
        </w:tc>
      </w:tr>
      <w:tr>
        <w:trPr>
          <w:cantSplit/>
        </w:trPr>
        <w:tc>
          <w:tcPr>
            <w:tcW w:type="dxa" w:w="108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Gemini 합류</w:t>
            </w:r>
          </w:p>
        </w:tc>
        <w:tc>
          <w:tcPr>
            <w:tcW w:type="dxa" w:w="93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70~90분</w:t>
            </w:r>
          </w:p>
        </w:tc>
        <w:tc>
          <w:tcPr>
            <w:tcW w:type="dxa" w:w="280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앞선 대화 전달·다른 관점</w:t>
            </w:r>
          </w:p>
        </w:tc>
        <w:tc>
          <w:tcPr>
            <w:tcW w:type="dxa" w:w="259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새 관점 찾기</w:t>
            </w:r>
          </w:p>
        </w:tc>
        <w:tc>
          <w:tcPr>
            <w:tcW w:type="dxa" w:w="257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합류 회신 또는 미실행 표시</w:t>
            </w:r>
          </w:p>
        </w:tc>
      </w:tr>
      <w:tr>
        <w:trPr>
          <w:cantSplit/>
        </w:trPr>
        <w:tc>
          <w:tcPr>
            <w:tcW w:type="dxa" w:w="10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기록과 장점</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90~103분</w:t>
            </w:r>
          </w:p>
        </w:tc>
        <w:tc>
          <w:tcPr>
            <w:tcW w:type="dxa" w:w="28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발신·수신·변경 기록</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종료 기준 판단</w:t>
            </w:r>
          </w:p>
        </w:tc>
        <w:tc>
          <w:tcPr>
            <w:tcW w:type="dxa" w:w="25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합의·불일치</w:t>
            </w:r>
          </w:p>
        </w:tc>
      </w:tr>
      <w:tr>
        <w:trPr>
          <w:cantSplit/>
        </w:trPr>
        <w:tc>
          <w:tcPr>
            <w:tcW w:type="dxa" w:w="108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MCP 이해</w:t>
            </w:r>
          </w:p>
        </w:tc>
        <w:tc>
          <w:tcPr>
            <w:tcW w:type="dxa" w:w="93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103~111분</w:t>
            </w:r>
          </w:p>
        </w:tc>
        <w:tc>
          <w:tcPr>
            <w:tcW w:type="dxa" w:w="280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CLI 연결과 MCP 확장 비교</w:t>
            </w:r>
          </w:p>
        </w:tc>
        <w:tc>
          <w:tcPr>
            <w:tcW w:type="dxa" w:w="259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연결 방식 구분</w:t>
            </w:r>
          </w:p>
        </w:tc>
        <w:tc>
          <w:tcPr>
            <w:tcW w:type="dxa" w:w="257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개념 설명</w:t>
            </w:r>
          </w:p>
        </w:tc>
      </w:tr>
      <w:tr>
        <w:trPr>
          <w:cantSplit/>
        </w:trPr>
        <w:tc>
          <w:tcPr>
            <w:tcW w:type="dxa" w:w="10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적용과 정리</w:t>
            </w:r>
          </w:p>
        </w:tc>
        <w:tc>
          <w:tcPr>
            <w:tcW w:type="dxa" w:w="9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111~120분</w:t>
            </w:r>
          </w:p>
        </w:tc>
        <w:tc>
          <w:tcPr>
            <w:tcW w:type="dxa" w:w="280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실패 대안·개인 지시문</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자기 과제 한 줄 작성</w:t>
            </w:r>
          </w:p>
        </w:tc>
        <w:tc>
          <w:tcPr>
            <w:tcW w:type="dxa" w:w="25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20" w:line="288" w:lineRule="auto"/>
            </w:pPr>
            <w:r>
              <w:rPr>
                <w:b w:val="0"/>
                <w:color w:val="000000"/>
                <w:sz w:val="20"/>
              </w:rPr>
              <w:t>내 지시문</w:t>
            </w:r>
          </w:p>
        </w:tc>
      </w:tr>
    </w:tbl>
    <w:p/>
    <w:p>
      <w:pPr>
        <w:pStyle w:val="Heading1"/>
      </w:pPr>
      <w:r>
        <w:t>4 필요한 프로그램과 준비</w:t>
      </w:r>
    </w:p>
    <w:p>
      <w:r>
        <w:t>강사는 Codex, 본인 계정으로 로그인한 Claude Code, Python 3.10 이상, 인터넷을 준비한다. Gemini 합류 시 Gemini CLI와 Node.js 20 이상을 준비한다. 학생은 강사 화면과 제공 파일만으로 참여할 수 있다. 계정·사용량·요금·설치 지원 범위는 수업 직전 각 공식 안내에서 확인한다.</w:t>
      </w:r>
    </w:p>
    <w:p>
      <w:r>
        <w:t>D-1에는 ZIP을 풀고 check·prepare를 실행해 패킷을 확인한다. 강사 본인 계정으로 공개 연습 자료의 첫 호출과 재호출을 점검한다. Gemini 설치·인증이 안 되면 합류를 완료했다고 말하지 않고 구조 설명과 표시된 재생 자료를 쓴다. 실시간 답이 90초 이상 걸리면 저장된 실제 회신으로 진행하고 호출 상태를 이후 확인한다.</w:t>
      </w:r>
    </w:p>
    <w:p>
      <w:pPr>
        <w:pStyle w:val="Heading1"/>
      </w:pPr>
      <w:r>
        <w:t>5 시연의 실제 동작</w:t>
      </w:r>
    </w:p>
    <w:p>
      <w:r>
        <w:t>Codex가 메시지를 작성하고 relay.py를 실행한다. 전달 도구는 고정 공개 자료와 이전 대화, 새 메시지를 패킷으로 만들어 CLI의 표준 입력에 보낸다. 회신을 받은 뒤 Codex가 직접 다음 답변을 써서 다시 호출한다. 서로 다른 서비스가 직접 네트워크로 대화하는 구성이 아니라 Codex가 중간에서 전달하는 구성이다. 프로그램이 자동으로 모델의 다음 발언을 쓰지 않는다.</w:t>
      </w:r>
    </w:p>
    <w:p>
      <w:r>
        <w:t>대화 기억은 이전 메시지를 다음 패킷에 다시 담는 방식이다. CLI 고유 세션을 재개하는 심화 방법과 구분한다. 기본 두 왕복 뒤 종료하고 도구 자체의 한도는 외부 호출 6회다. 합의가 생겨도 원문 검증과 사람의 전략 선택을 생략하지 않는다.</w:t>
      </w:r>
    </w:p>
    <w:p>
      <w:pPr>
        <w:pStyle w:val="Heading1"/>
      </w:pPr>
      <w:r>
        <w:t>6 MCP와 교육 범위</w:t>
      </w:r>
    </w:p>
    <w:p>
      <w:r>
        <w:t>기본 실습은 CLI 호출이다. MCP 어댑터로 외부 모델 호출 도구를 노출하는 구조는 짧게 설명하며 이 패키지에 구현했다고 주장하지 않는다. 공식 문서 MCP는 문서 읽기 서버이며 Claude·Gemini 대화 서버가 아니다. 새 MCP 서버 개발·API 키 발급·모든 계정 로그인 실습은 2시간의 핵심 시연 범위에서 제외한다.</w:t>
      </w:r>
    </w:p>
    <w:p>
      <w:pPr>
        <w:pStyle w:val="Heading1"/>
      </w:pPr>
      <w:r>
        <w:t>7 장점과 확인 한계</w:t>
      </w:r>
    </w:p>
    <w:p>
      <w:r>
        <w:t>한 Codex 작업에서 질문·회신·반박을 이어가고 발신자와 수정 이유를 남길 수 있다. 같은 자료를 앱마다 수동 복사하는 작업을 줄이도록 설계했다. 시간 절약률과 정확도 개선률은 측정하지 않았다. 각 모델의 성능 우열을 수업 역할로 단정하지 않는다.</w:t>
      </w:r>
    </w:p>
    <w:p>
      <w:r>
        <w:t>공식 출처는 04_연결안내/공식출처.md에 있다. 대학 강의 원본·사적 녹취·계정 정보는 배포하지 않는다. 새 실제 대화의 실행 범위와 Gemini 미실행 여부는 05_사례/실제대화/실행기록.md에 기록한다. 수강생 계정과 강의장 네트워크, 네이티브 PowerPoint 표시는 별도 사전 확인이 필요하다.</w:t>
      </w:r>
    </w:p>
    <w:sectPr w:rsidR="00FC693F" w:rsidRPr="0006063C" w:rsidSect="00034616">
      <w:headerReference w:type="default" r:id="rId9"/>
      <w:footerReference w:type="default" r:id="rId10"/>
      <w:pgSz w:w="12240" w:h="15840"/>
      <w:pgMar w:top="1123"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ATTENTION 추가 특강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325880" cy="254492"/>
          <wp:docPr id="1" name="Picture 1"/>
          <wp:cNvGraphicFramePr>
            <a:graphicFrameLocks noChangeAspect="1"/>
          </wp:cNvGraphicFramePr>
          <a:graphic>
            <a:graphicData uri="http://schemas.openxmlformats.org/drawingml/2006/picture">
              <pic:pic>
                <pic:nvPicPr>
                  <pic:cNvPr id="0" name="codeplant-logo.png"/>
                  <pic:cNvPicPr/>
                </pic:nvPicPr>
                <pic:blipFill>
                  <a:blip r:embed="rId1"/>
                  <a:stretch>
                    <a:fillRect/>
                  </a:stretch>
                </pic:blipFill>
                <pic:spPr>
                  <a:xfrm>
                    <a:off x="0" y="0"/>
                    <a:ext cx="1325880" cy="25449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Pretendard" w:hAnsi="Pretendard" w:eastAsia="Pretendard" w:cs="Pretendard"/>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Pretendard" w:hAnsi="Pretendard" w:eastAsia="Pretendard" w:cs="Pretendard"/>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cstheme="majorBidi" w:ascii="Pretendard" w:hAnsi="Pretendard" w:eastAsia="Pretendard" w:cs="Pretendard"/>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cstheme="majorBidi" w:ascii="Pretendard" w:hAnsi="Pretendard" w:eastAsia="Pretendard" w:cs="Pretendar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retendard" w:hAnsi="Pretendard" w:eastAsia="Pretendard" w:cs="Pretendar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Pretendard" w:hAnsi="Pretendard" w:eastAsia="Pretendard" w:cs="Pretendar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Pretendard" w:hAnsi="Pretendard" w:eastAsia="Pretendard" w:cs="Pretendar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Pretendard" w:hAnsi="Pretendard" w:eastAsia="Pretendard" w:cs="Pretendar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Pretendard" w:hAnsi="Pretendard" w:eastAsia="Pretendard" w:cs="Pretendar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Pretendard" w:hAnsi="Pretendard" w:eastAsia="Pretendard" w:cs="Pretendar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Pretendard" w:hAnsi="Pretendard" w:eastAsia="Pretendard" w:cs="Pretendard"/>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Pretendard" w:hAnsi="Pretendard" w:eastAsia="Pretendard" w:cs="Pretendar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Pretendard" w:hAnsi="Pretendard" w:eastAsia="Pretendard" w:cs="Pretendard"/>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Pretendard" w:hAnsi="Pretendard" w:eastAsia="Pretendard" w:cs="Pretendard"/>
      <w:b/>
      <w:bCs/>
      <w:color w:val="4F81BD" w:themeColor="accent1"/>
    </w:rPr>
  </w:style>
  <w:style w:type="paragraph" w:styleId="Title">
    <w:name w:val="Title"/>
    <w:basedOn w:val="Normal"/>
    <w:next w:val="Normal"/>
    <w:link w:val="TitleChar"/>
    <w:uiPriority w:val="10"/>
    <w:qFormat/>
    <w:rsid w:val="00FC693F"/>
    <w:pPr>
      <w:keepNext/>
      <w:spacing w:after="120" w:line="276" w:lineRule="auto" w:before="0"/>
      <w:contextualSpacing/>
    </w:pPr>
    <w:rPr>
      <w:rFonts w:cstheme="majorBidi" w:ascii="Pretendard" w:hAnsi="Pretendard" w:eastAsia="Pretendard" w:cs="Pretendard"/>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ascii="Pretendard" w:hAnsi="Pretendard" w:eastAsia="Pretendard" w:cs="Pretendar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retendard" w:hAnsi="Pretendard" w:eastAsia="Pretendard" w:cs="Pretendar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Pretendard" w:hAnsi="Pretendard" w:eastAsia="Pretendard" w:cs="Pretendard"/>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retendard" w:hAnsi="Pretendard" w:eastAsia="Pretendard" w:cs="Pretendard"/>
      <w:sz w:val="20"/>
      <w:szCs w:val="20"/>
    </w:rPr>
  </w:style>
  <w:style w:type="character" w:customStyle="1" w:styleId="MacroTextChar">
    <w:name w:val="Macro Text Char"/>
    <w:basedOn w:val="DefaultParagraphFont"/>
    <w:link w:val="MacroText"/>
    <w:uiPriority w:val="99"/>
    <w:rsid w:val="0029639D"/>
    <w:rPr>
      <w:rFonts w:ascii="Pretendard" w:hAnsi="Pretendard" w:eastAsia="Pretendard" w:cs="Pretendar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Pretendard" w:hAnsi="Pretendard" w:eastAsia="Pretendard" w:cs="Pretendard"/>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Pretendard" w:hAnsi="Pretendard" w:eastAsia="Pretendard" w:cs="Pretendard"/>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Pretendard" w:hAnsi="Pretendard" w:eastAsia="Pretendard" w:cs="Pretendard"/>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Pretendard" w:hAnsi="Pretendard" w:eastAsia="Pretendard" w:cs="Pretendard"/>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Pretendard" w:hAnsi="Pretendard" w:eastAsia="Pretendard" w:cs="Pretendard"/>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Pretendard" w:hAnsi="Pretendard" w:eastAsia="Pretendard" w:cs="Pretendard"/>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Pretendard" w:hAnsi="Pretendard" w:eastAsia="Pretendard" w:cs="Pretendar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Pretendard" w:hAnsi="Pretendard" w:eastAsia="Pretendard" w:cs="Pretendar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Pretendard" w:hAnsi="Pretendard" w:eastAsia="Pretendard" w:cs="Pretendard"/>
        <w:b/>
        <w:bCs/>
      </w:rPr>
    </w:tblStylePr>
    <w:tblStylePr w:type="lastCol">
      <w:rPr>
        <w:rFonts w:cstheme="majorBidi" w:ascii="Pretendard" w:hAnsi="Pretendard" w:eastAsia="Pretendard" w:cs="Pretendar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Pretendard" w:hAnsi="Pretendard" w:eastAsia="Pretendard" w:cs="Pretendar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Pretendard" w:hAnsi="Pretendard" w:eastAsia="Pretendard" w:cs="Pretendar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Pretendard" w:hAnsi="Pretendard" w:eastAsia="Pretendard" w:cs="Pretendard"/>
        <w:b/>
        <w:bCs/>
      </w:rPr>
    </w:tblStylePr>
    <w:tblStylePr w:type="lastCol">
      <w:rPr>
        <w:rFonts w:cstheme="majorBidi" w:ascii="Pretendard" w:hAnsi="Pretendard" w:eastAsia="Pretendard" w:cs="Pretendar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Pretendard" w:hAnsi="Pretendard" w:eastAsia="Pretendard" w:cs="Pretendar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Pretendard" w:hAnsi="Pretendard" w:eastAsia="Pretendard" w:cs="Pretendar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Pretendard" w:hAnsi="Pretendard" w:eastAsia="Pretendard" w:cs="Pretendard"/>
        <w:b/>
        <w:bCs/>
      </w:rPr>
    </w:tblStylePr>
    <w:tblStylePr w:type="lastCol">
      <w:rPr>
        <w:rFonts w:cstheme="majorBidi" w:ascii="Pretendard" w:hAnsi="Pretendard" w:eastAsia="Pretendard" w:cs="Pretendar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Pretendard" w:hAnsi="Pretendard" w:eastAsia="Pretendard" w:cs="Pretendar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Pretendard" w:hAnsi="Pretendard" w:eastAsia="Pretendard" w:cs="Pretendar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Pretendard" w:hAnsi="Pretendard" w:eastAsia="Pretendard" w:cs="Pretendard"/>
        <w:b/>
        <w:bCs/>
      </w:rPr>
    </w:tblStylePr>
    <w:tblStylePr w:type="lastCol">
      <w:rPr>
        <w:rFonts w:cstheme="majorBidi" w:ascii="Pretendard" w:hAnsi="Pretendard" w:eastAsia="Pretendard" w:cs="Pretendar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Pretendard" w:hAnsi="Pretendard" w:eastAsia="Pretendard" w:cs="Pretendar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Pretendard" w:hAnsi="Pretendard" w:eastAsia="Pretendard" w:cs="Pretendar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Pretendard" w:hAnsi="Pretendard" w:eastAsia="Pretendard" w:cs="Pretendard"/>
        <w:b/>
        <w:bCs/>
      </w:rPr>
    </w:tblStylePr>
    <w:tblStylePr w:type="lastCol">
      <w:rPr>
        <w:rFonts w:cstheme="majorBidi" w:ascii="Pretendard" w:hAnsi="Pretendard" w:eastAsia="Pretendard" w:cs="Pretendar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Pretendard" w:hAnsi="Pretendard" w:eastAsia="Pretendard" w:cs="Pretendar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Pretendard" w:hAnsi="Pretendard" w:eastAsia="Pretendard" w:cs="Pretendar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Pretendard" w:hAnsi="Pretendard" w:eastAsia="Pretendard" w:cs="Pretendard"/>
        <w:b/>
        <w:bCs/>
      </w:rPr>
    </w:tblStylePr>
    <w:tblStylePr w:type="lastCol">
      <w:rPr>
        <w:rFonts w:cstheme="majorBidi" w:ascii="Pretendard" w:hAnsi="Pretendard" w:eastAsia="Pretendard" w:cs="Pretendar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Pretendard" w:hAnsi="Pretendard" w:eastAsia="Pretendard" w:cs="Pretendar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Pretendard" w:hAnsi="Pretendard" w:eastAsia="Pretendard" w:cs="Pretendar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Pretendard" w:hAnsi="Pretendard" w:eastAsia="Pretendard" w:cs="Pretendard"/>
        <w:b/>
        <w:bCs/>
      </w:rPr>
    </w:tblStylePr>
    <w:tblStylePr w:type="lastCol">
      <w:rPr>
        <w:rFonts w:cstheme="majorBidi" w:ascii="Pretendard" w:hAnsi="Pretendard" w:eastAsia="Pretendard" w:cs="Pretendar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Pretendard" w:hAnsi="Pretendard" w:eastAsia="Pretendard" w:cs="Pretendar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Pretendard" w:hAnsi="Pretendard" w:eastAsia="Pretendard" w:cs="Pretendar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Pretendard" w:hAnsi="Pretendard" w:eastAsia="Pretendard" w:cs="Pretendar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Pretendard" w:hAnsi="Pretendard" w:eastAsia="Pretendard" w:cs="Pretendar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Pretendard" w:hAnsi="Pretendard" w:eastAsia="Pretendard" w:cs="Pretendar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Pretendard" w:hAnsi="Pretendard" w:eastAsia="Pretendard" w:cs="Pretendar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Pretendard" w:hAnsi="Pretendard" w:eastAsia="Pretendard" w:cs="Pretendar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Pretendard" w:hAnsi="Pretendard" w:eastAsia="Pretendard" w:cs="Pretendar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