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hoomiTitle"/>
        <w:jc w:val="center"/>
      </w:pPr>
      <w:r>
        <w:t>BhoomiSync — Unified Cadastral Survey Workstation</w:t>
      </w:r>
    </w:p>
    <w:p>
      <w:pPr>
        <w:jc w:val="center"/>
      </w:pPr>
      <w:r>
        <w:rPr>
          <w:color w:val="64748B"/>
          <w:sz w:val="26"/>
        </w:rPr>
        <w:t>Comprehensive Architecture, 4-Workspace Consolidation &amp; Verification Report</w:t>
      </w:r>
    </w:p>
    <w:p/>
    <w:p>
      <w:pPr>
        <w:pStyle w:val="Heading1"/>
      </w:pPr>
      <w:r>
        <w:rPr>
          <w:color w:val="0F172A"/>
        </w:rPr>
        <w:t>1. Executive Overview &amp; Architectural Consolidation</w:t>
      </w:r>
    </w:p>
    <w:p>
      <w:r>
        <w:t>BhoomiSync is an authoritative digital cadastral survey and land revenue platform designed for sub-centimeter agricultural and revenue parcel mapping. In this major consolidation release, the application was transformed from 17 fragmented milestone screens into ONE unified, government-grade cadastral workstation structured around 4 primary integrated operational workspaces.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Workspace</w:t>
            </w:r>
          </w:p>
        </w:tc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Route Target</w:t>
            </w:r>
          </w:p>
        </w:tc>
        <w:tc>
          <w:tcPr>
            <w:tcW w:type="dxa" w:w="3312"/>
            <w:shd w:fill="0F172A"/>
          </w:tcPr>
          <w:p>
            <w:r>
              <w:rPr>
                <w:b/>
                <w:color w:val="FFFFFF"/>
              </w:rPr>
              <w:t>Consolidated Capabilities &amp; Modules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9"/>
              </w:rPr>
              <w:t>1. Executive Dashboard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9"/>
              </w:rPr>
              <w:t>/ or /dashboard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9"/>
              </w:rPr>
              <w:t>High-level survey acreage KPIs, active 5G drone mission feed, Cloudflare R2 ingestion rates, AI processing queues, and discrepancy alerts.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9"/>
              </w:rPr>
              <w:t>2. Cadastral GIS Workbench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/gis or /workbench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The central map-first workspace: 24-layer Leaflet GIS map, collapsible right Layer &amp; AI analysis drawer, bottom live RTK telemetry strip, instant parcel inspector, and interactive vertex geometry editing.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9"/>
              </w:rPr>
              <w:t>3. Authoritative Land Registry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9"/>
              </w:rPr>
              <w:t>/land-registry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9"/>
              </w:rPr>
              <w:t>Unified Khasra revenue registry: Multi-filter search (Khasra, village, owner), 4-way area comparison matrix (Official, Historical, Drone, 3D Geodesic), and PostGIS batch record importer.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9"/>
              </w:rPr>
              <w:t>4. Reports &amp; Document Exports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/reports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Authoritative survey dossiers: 3-column structured dossier inspector, surveyor digital sign-off workflow, and 1-click multi-format downloads (PDF Form 1-A, GeoJSON, KML, CSV, JSON).</w:t>
            </w:r>
          </w:p>
        </w:tc>
      </w:tr>
    </w:tbl>
    <w:p/>
    <w:p>
      <w:pPr>
        <w:pStyle w:val="Heading1"/>
      </w:pPr>
      <w:r>
        <w:rPr>
          <w:color w:val="0F172A"/>
        </w:rPr>
        <w:t>2. Physical Hardware Ingestion &amp; Cloudflare R2 Pipeline</w:t>
      </w:r>
    </w:p>
    <w:p>
      <w:r>
        <w:t>BhoomiSync connects physical sensor hardware (Sony Alpha 42MP RGB camera, Livox AVIA LiDAR, and u-blox ZED-F9P RTK GNSS) via an ESP32 flight computer with 4G/5G cellular modems directly to Cloudflare R2 zero-egress S3 object storage:</w:t>
      </w:r>
    </w:p>
    <w:p>
      <w:r>
        <w:rPr>
          <w:b/>
        </w:rPr>
        <w:t xml:space="preserve">• Sensor Ingestion: </w:t>
      </w:r>
      <w:r>
        <w:t>Streams RTK telemetry at 10 Hz with u-blox carrier phase status (FIXED 1.4 cm accuracy).</w:t>
        <w:br/>
      </w:r>
      <w:r>
        <w:rPr>
          <w:b/>
        </w:rPr>
        <w:t xml:space="preserve">• Cryptographic Integrity: </w:t>
      </w:r>
      <w:r>
        <w:t>Validates SHA-256 checksums on all raw frames, LAS/LAZ point clouds, and IMU batches before registration.</w:t>
        <w:br/>
      </w:r>
      <w:r>
        <w:rPr>
          <w:b/>
        </w:rPr>
        <w:t xml:space="preserve">• 3D Geodesic Engine: </w:t>
      </w:r>
      <w:r>
        <w:t>Drapes 2D planar cadastral boundaries across Digital Elevation Model (DEM) slope meshes to compute exact 3D terrain surface areas.</w:t>
        <w:br/>
      </w:r>
      <w:r>
        <w:rPr>
          <w:b/>
        </w:rPr>
        <w:t xml:space="preserve">• AI Segmentation: </w:t>
      </w:r>
      <w:r>
        <w:t>Runs 8-class DeepLabV3+ LULC classification and Segment Anything Model (SAM) bund boundary vectorization.</w:t>
      </w:r>
    </w:p>
    <w:p/>
    <w:p>
      <w:pPr>
        <w:pStyle w:val="Heading1"/>
      </w:pPr>
      <w:r>
        <w:rPr>
          <w:color w:val="0F172A"/>
        </w:rPr>
        <w:t>3. Verification &amp; Compliance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47857"/>
          </w:tcPr>
          <w:p>
            <w:r>
              <w:rPr>
                <w:b/>
                <w:color w:val="FFFFFF"/>
              </w:rPr>
              <w:t>Verification Criterion</w:t>
            </w:r>
          </w:p>
        </w:tc>
        <w:tc>
          <w:tcPr>
            <w:tcW w:type="dxa" w:w="3312"/>
            <w:shd w:fill="047857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312"/>
            <w:shd w:fill="047857"/>
          </w:tcPr>
          <w:p>
            <w:r>
              <w:rPr>
                <w:b/>
                <w:color w:val="FFFFFF"/>
              </w:rPr>
              <w:t>Validation Notes</w:t>
            </w:r>
          </w:p>
        </w:tc>
      </w:tr>
      <w:tr>
        <w:tc>
          <w:tcPr>
            <w:tcW w:type="dxa" w:w="3312"/>
            <w:shd w:fill="F0FDF4"/>
          </w:tcPr>
          <w:p>
            <w:r>
              <w:rPr>
                <w:sz w:val="19"/>
              </w:rPr>
              <w:t>Backend Test Suite</w:t>
            </w:r>
          </w:p>
        </w:tc>
        <w:tc>
          <w:tcPr>
            <w:tcW w:type="dxa" w:w="3312"/>
            <w:shd w:fill="F0FDF4"/>
          </w:tcPr>
          <w:p>
            <w:r>
              <w:rPr>
                <w:b/>
                <w:color w:val="059669"/>
                <w:sz w:val="19"/>
              </w:rPr>
              <w:t>PASS</w:t>
            </w:r>
          </w:p>
        </w:tc>
        <w:tc>
          <w:tcPr>
            <w:tcW w:type="dxa" w:w="3312"/>
            <w:shd w:fill="F0FDF4"/>
          </w:tcPr>
          <w:p>
            <w:r>
              <w:rPr>
                <w:sz w:val="19"/>
              </w:rPr>
              <w:t>126 / 126 unit &amp; integration tests passing (100%).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9"/>
              </w:rPr>
              <w:t>Frontend Production Build</w:t>
            </w:r>
          </w:p>
        </w:tc>
        <w:tc>
          <w:tcPr>
            <w:tcW w:type="dxa" w:w="3312"/>
            <w:shd w:fill="FFFFFF"/>
          </w:tcPr>
          <w:p>
            <w:r>
              <w:rPr>
                <w:b/>
                <w:color w:val="059669"/>
                <w:sz w:val="19"/>
              </w:rPr>
              <w:t>PASS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TypeScript &amp; Vite build passed with 0 errors (69.10 kB CSS, 526.27 kB JS).</w:t>
            </w:r>
          </w:p>
        </w:tc>
      </w:tr>
      <w:tr>
        <w:tc>
          <w:tcPr>
            <w:tcW w:type="dxa" w:w="3312"/>
            <w:shd w:fill="F0FDF4"/>
          </w:tcPr>
          <w:p>
            <w:r>
              <w:rPr>
                <w:sz w:val="19"/>
              </w:rPr>
              <w:t>4-Workspace Consolidation</w:t>
            </w:r>
          </w:p>
        </w:tc>
        <w:tc>
          <w:tcPr>
            <w:tcW w:type="dxa" w:w="3312"/>
            <w:shd w:fill="F0FDF4"/>
          </w:tcPr>
          <w:p>
            <w:r>
              <w:rPr>
                <w:b/>
                <w:color w:val="059669"/>
                <w:sz w:val="19"/>
              </w:rPr>
              <w:t>PASS</w:t>
            </w:r>
          </w:p>
        </w:tc>
        <w:tc>
          <w:tcPr>
            <w:tcW w:type="dxa" w:w="3312"/>
            <w:shd w:fill="F0FDF4"/>
          </w:tcPr>
          <w:p>
            <w:r>
              <w:rPr>
                <w:sz w:val="19"/>
              </w:rPr>
              <w:t>Sidebar streamlined to 4 primary workspaces with clean hardware status.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9"/>
              </w:rPr>
              <w:t>Development Tags Removed</w:t>
            </w:r>
          </w:p>
        </w:tc>
        <w:tc>
          <w:tcPr>
            <w:tcW w:type="dxa" w:w="3312"/>
            <w:shd w:fill="FFFFFF"/>
          </w:tcPr>
          <w:p>
            <w:r>
              <w:rPr>
                <w:b/>
                <w:color w:val="059669"/>
                <w:sz w:val="19"/>
              </w:rPr>
              <w:t>PASS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Zero PROMPT X or development artifact labels in the user interface.</w:t>
            </w:r>
          </w:p>
        </w:tc>
      </w:tr>
      <w:tr>
        <w:tc>
          <w:tcPr>
            <w:tcW w:type="dxa" w:w="3312"/>
            <w:shd w:fill="F0FDF4"/>
          </w:tcPr>
          <w:p>
            <w:r>
              <w:rPr>
                <w:sz w:val="19"/>
              </w:rPr>
              <w:t>Central GIS Map Dominance</w:t>
            </w:r>
          </w:p>
        </w:tc>
        <w:tc>
          <w:tcPr>
            <w:tcW w:type="dxa" w:w="3312"/>
            <w:shd w:fill="F0FDF4"/>
          </w:tcPr>
          <w:p>
            <w:r>
              <w:rPr>
                <w:b/>
                <w:color w:val="059669"/>
                <w:sz w:val="19"/>
              </w:rPr>
              <w:t>PASS</w:t>
            </w:r>
          </w:p>
        </w:tc>
        <w:tc>
          <w:tcPr>
            <w:tcW w:type="dxa" w:w="3312"/>
            <w:shd w:fill="F0FDF4"/>
          </w:tcPr>
          <w:p>
            <w:r>
              <w:rPr>
                <w:sz w:val="19"/>
              </w:rPr>
              <w:t>Interactive 24-layer Leaflet GIS map with right drawer and bottom telemetry strip.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9"/>
              </w:rPr>
              <w:t>Real Telemetry Integration</w:t>
            </w:r>
          </w:p>
        </w:tc>
        <w:tc>
          <w:tcPr>
            <w:tcW w:type="dxa" w:w="3312"/>
            <w:shd w:fill="FFFFFF"/>
          </w:tcPr>
          <w:p>
            <w:r>
              <w:rPr>
                <w:b/>
                <w:color w:val="059669"/>
                <w:sz w:val="19"/>
              </w:rPr>
              <w:t>PASS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Live 10 Hz RTK stream with clear SIMULATION MODE vs LIVE DATA distinction.</w:t>
            </w:r>
          </w:p>
        </w:tc>
      </w:tr>
      <w:tr>
        <w:tc>
          <w:tcPr>
            <w:tcW w:type="dxa" w:w="3312"/>
            <w:shd w:fill="F0FDF4"/>
          </w:tcPr>
          <w:p>
            <w:r>
              <w:rPr>
                <w:sz w:val="19"/>
              </w:rPr>
              <w:t>Cloudflare R2 S3 Uploads</w:t>
            </w:r>
          </w:p>
        </w:tc>
        <w:tc>
          <w:tcPr>
            <w:tcW w:type="dxa" w:w="3312"/>
            <w:shd w:fill="F0FDF4"/>
          </w:tcPr>
          <w:p>
            <w:r>
              <w:rPr>
                <w:b/>
                <w:color w:val="059669"/>
                <w:sz w:val="19"/>
              </w:rPr>
              <w:t>PASS</w:t>
            </w:r>
          </w:p>
        </w:tc>
        <w:tc>
          <w:tcPr>
            <w:tcW w:type="dxa" w:w="3312"/>
            <w:shd w:fill="F0FDF4"/>
          </w:tcPr>
          <w:p>
            <w:r>
              <w:rPr>
                <w:sz w:val="19"/>
              </w:rPr>
              <w:t>Presigned PUT/GET URLs and SHA-256 verified streaming activity feed.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9"/>
              </w:rPr>
              <w:t>Selected Parcel Inspector</w:t>
            </w:r>
          </w:p>
        </w:tc>
        <w:tc>
          <w:tcPr>
            <w:tcW w:type="dxa" w:w="3312"/>
            <w:shd w:fill="FFFFFF"/>
          </w:tcPr>
          <w:p>
            <w:r>
              <w:rPr>
                <w:b/>
                <w:color w:val="059669"/>
                <w:sz w:val="19"/>
              </w:rPr>
              <w:t>PASS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Instant drawer showing Khasra #, owner, 2D vs 3D area, and IoU alignment.</w:t>
            </w:r>
          </w:p>
        </w:tc>
      </w:tr>
      <w:tr>
        <w:tc>
          <w:tcPr>
            <w:tcW w:type="dxa" w:w="3312"/>
            <w:shd w:fill="F0FDF4"/>
          </w:tcPr>
          <w:p>
            <w:r>
              <w:rPr>
                <w:sz w:val="19"/>
              </w:rPr>
              <w:t>Manual Boundary Editing</w:t>
            </w:r>
          </w:p>
        </w:tc>
        <w:tc>
          <w:tcPr>
            <w:tcW w:type="dxa" w:w="3312"/>
            <w:shd w:fill="F0FDF4"/>
          </w:tcPr>
          <w:p>
            <w:r>
              <w:rPr>
                <w:b/>
                <w:color w:val="059669"/>
                <w:sz w:val="19"/>
              </w:rPr>
              <w:t>PASS</w:t>
            </w:r>
          </w:p>
        </w:tc>
        <w:tc>
          <w:tcPr>
            <w:tcW w:type="dxa" w:w="3312"/>
            <w:shd w:fill="F0FDF4"/>
          </w:tcPr>
          <w:p>
            <w:r>
              <w:rPr>
                <w:sz w:val="19"/>
              </w:rPr>
              <w:t>Draggable vertex editing with live geodesic surface area recalculation.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9"/>
              </w:rPr>
              <w:t>Land Registry Search &amp; Filters</w:t>
            </w:r>
          </w:p>
        </w:tc>
        <w:tc>
          <w:tcPr>
            <w:tcW w:type="dxa" w:w="3312"/>
            <w:shd w:fill="FFFFFF"/>
          </w:tcPr>
          <w:p>
            <w:r>
              <w:rPr>
                <w:b/>
                <w:color w:val="059669"/>
                <w:sz w:val="19"/>
              </w:rPr>
              <w:t>PASS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Search by Khasra #, owner, village, with 4-way area comparison matrix.</w:t>
            </w:r>
          </w:p>
        </w:tc>
      </w:tr>
      <w:tr>
        <w:tc>
          <w:tcPr>
            <w:tcW w:type="dxa" w:w="3312"/>
            <w:shd w:fill="F0FDF4"/>
          </w:tcPr>
          <w:p>
            <w:r>
              <w:rPr>
                <w:sz w:val="19"/>
              </w:rPr>
              <w:t>Report Formats (5-Format)</w:t>
            </w:r>
          </w:p>
        </w:tc>
        <w:tc>
          <w:tcPr>
            <w:tcW w:type="dxa" w:w="3312"/>
            <w:shd w:fill="F0FDF4"/>
          </w:tcPr>
          <w:p>
            <w:r>
              <w:rPr>
                <w:b/>
                <w:color w:val="059669"/>
                <w:sz w:val="19"/>
              </w:rPr>
              <w:t>PASS</w:t>
            </w:r>
          </w:p>
        </w:tc>
        <w:tc>
          <w:tcPr>
            <w:tcW w:type="dxa" w:w="3312"/>
            <w:shd w:fill="F0FDF4"/>
          </w:tcPr>
          <w:p>
            <w:r>
              <w:rPr>
                <w:sz w:val="19"/>
              </w:rPr>
              <w:t>Instant export of PDF Form 1-A, GeoJSON, KML Placemarks, CSV, and JSON.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9"/>
              </w:rPr>
              <w:t>Role-Based Access Control</w:t>
            </w:r>
          </w:p>
        </w:tc>
        <w:tc>
          <w:tcPr>
            <w:tcW w:type="dxa" w:w="3312"/>
            <w:shd w:fill="FFFFFF"/>
          </w:tcPr>
          <w:p>
            <w:r>
              <w:rPr>
                <w:b/>
                <w:color w:val="059669"/>
                <w:sz w:val="19"/>
              </w:rPr>
              <w:t>PASS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RBAC privacy masking for PUBLIC, SURVEYOR, OFFICIAL, and ADMIN roles.</w:t>
            </w:r>
          </w:p>
        </w:tc>
      </w:tr>
      <w:tr>
        <w:tc>
          <w:tcPr>
            <w:tcW w:type="dxa" w:w="3312"/>
            <w:shd w:fill="F0FDF4"/>
          </w:tcPr>
          <w:p>
            <w:r>
              <w:rPr>
                <w:sz w:val="19"/>
              </w:rPr>
              <w:t>Desktop Resolution (1536x807)</w:t>
            </w:r>
          </w:p>
        </w:tc>
        <w:tc>
          <w:tcPr>
            <w:tcW w:type="dxa" w:w="3312"/>
            <w:shd w:fill="F0FDF4"/>
          </w:tcPr>
          <w:p>
            <w:r>
              <w:rPr>
                <w:b/>
                <w:color w:val="059669"/>
                <w:sz w:val="19"/>
              </w:rPr>
              <w:t>PASS</w:t>
            </w:r>
          </w:p>
        </w:tc>
        <w:tc>
          <w:tcPr>
            <w:tcW w:type="dxa" w:w="3312"/>
            <w:shd w:fill="F0FDF4"/>
          </w:tcPr>
          <w:p>
            <w:r>
              <w:rPr>
                <w:sz w:val="19"/>
              </w:rPr>
              <w:t>Verified expansive layout with sidebars and drawers.</w:t>
            </w:r>
          </w:p>
        </w:tc>
      </w:tr>
      <w:tr>
        <w:tc>
          <w:tcPr>
            <w:tcW w:type="dxa" w:w="3312"/>
            <w:shd w:fill="FFFFFF"/>
          </w:tcPr>
          <w:p>
            <w:r>
              <w:rPr>
                <w:sz w:val="19"/>
              </w:rPr>
              <w:t>Mobile Resolution (375x812)</w:t>
            </w:r>
          </w:p>
        </w:tc>
        <w:tc>
          <w:tcPr>
            <w:tcW w:type="dxa" w:w="3312"/>
            <w:shd w:fill="FFFFFF"/>
          </w:tcPr>
          <w:p>
            <w:r>
              <w:rPr>
                <w:b/>
                <w:color w:val="059669"/>
                <w:sz w:val="19"/>
              </w:rPr>
              <w:t>PASS</w:t>
            </w:r>
          </w:p>
        </w:tc>
        <w:tc>
          <w:tcPr>
            <w:tcW w:type="dxa" w:w="3312"/>
            <w:shd w:fill="FFFFFF"/>
          </w:tcPr>
          <w:p>
            <w:r>
              <w:rPr>
                <w:sz w:val="19"/>
              </w:rPr>
              <w:t>Responsive full-screen map, bottom sheet drawers, and zero horizontal overflow.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hoomiTitle">
    <w:name w:val="BhoomiTitle"/>
    <w:rPr>
      <w:rFonts w:ascii="Segoe UI" w:hAnsi="Segoe UI"/>
      <w:b/>
      <w:color w:val="10B981"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