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8"/>
        </w:rPr>
        <w:t>BHOOMISYNC — PROMPT 5</w:t>
      </w:r>
    </w:p>
    <w:p>
      <w:pPr>
        <w:spacing w:after="320"/>
      </w:pPr>
      <w:r>
        <w:rPr>
          <w:rFonts w:ascii="Arial" w:hAnsi="Arial"/>
          <w:b/>
          <w:color w:val="059669"/>
          <w:sz w:val="28"/>
        </w:rPr>
        <w:t>Land Records, Ownership &amp; Cadastral Intelligence Module Walkthrough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Platform Version: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BhoomiSync v1.5.0 (Prompt 5 Release)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Date / Timestamp: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August 31, 2026 - 17:08 UTC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Architectural Focus: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Revenue Land Records, 4-Way Area Comparison, Privacy Masking, PostGIS Cadastre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Test Verification: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75 / 75 Automated Backend Tests Passed (100% Pass Rate) | 0 Frontend TypeScript Errors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1. Executive Summary &amp; Production Objectives</w:t>
      </w:r>
    </w:p>
    <w:p>
      <w:pPr>
        <w:spacing w:after="160"/>
      </w:pPr>
      <w:r>
        <w:t>Prompt 5 delivers the foundational bridge between BhoomiSync's centimeter-accurate drone surveying capabilities and the legal, administrative, and property-rights domain of rural land administration. The module introduces a complete Cadastral &amp; Land Records architecture that ingests official revenue sheets (Jamabandi, Khasra Girdawari, Bhunaksha), correlates them with modern drone photogrammetry and LiDAR point clouds, reconciles multi-temporal area differences across four independent spatial sources, and enforces a privacy-first, role-aware projection model that safeguards citizen PII.</w:t>
      </w:r>
    </w:p>
    <w:p>
      <w:pPr>
        <w:pStyle w:val="ListBullet"/>
        <w:spacing w:after="80"/>
      </w:pPr>
      <w:r>
        <w:rPr>
          <w:b/>
          <w:color w:val="059669"/>
        </w:rPr>
        <w:t xml:space="preserve">Multi-Layer Cadastral Database: </w:t>
      </w:r>
      <w:r>
        <w:t>8 normalized PostGIS tables supporting parcels, owners, ownership shares, source documents, cadastral versions (1998, 2015, 2024, 2026), change records, and import sessions.</w:t>
      </w:r>
    </w:p>
    <w:p>
      <w:pPr>
        <w:pStyle w:val="ListBullet"/>
        <w:spacing w:after="80"/>
      </w:pPr>
      <w:r>
        <w:rPr>
          <w:b/>
          <w:color w:val="059669"/>
        </w:rPr>
        <w:t xml:space="preserve">Multi-Format Land Record Importers: </w:t>
      </w:r>
      <w:r>
        <w:t>Extensible ingestion engine supporting CSV, JSON, GeoJSON FeatureCollections, and mock government datasets with SHA-256 integrity checksums, duplicate detection, and schema validation.</w:t>
      </w:r>
    </w:p>
    <w:p>
      <w:pPr>
        <w:pStyle w:val="ListBullet"/>
        <w:spacing w:after="80"/>
      </w:pPr>
      <w:r>
        <w:rPr>
          <w:b/>
          <w:color w:val="059669"/>
        </w:rPr>
        <w:t xml:space="preserve">Multi-Factor Geospatial Matching Engine: </w:t>
      </w:r>
      <w:r>
        <w:t>Calculates composite match confidence using IoU polygon overlap (45%), area similarity (25%), centroid proximity (20%), and survey number alignment (10%).</w:t>
      </w:r>
    </w:p>
    <w:p>
      <w:pPr>
        <w:pStyle w:val="ListBullet"/>
        <w:spacing w:after="80"/>
      </w:pPr>
      <w:r>
        <w:rPr>
          <w:b/>
          <w:color w:val="059669"/>
        </w:rPr>
        <w:t xml:space="preserve">4-Way Area &amp; Geometry Comparison Engine: </w:t>
      </w:r>
      <w:r>
        <w:t>Performs scale-invariant metric conversions (m², hectares, acres) comparing Official Revenue Area, Historical 1998 Area, Drone Measured Area, and Surveyor-Verified Area.</w:t>
      </w:r>
    </w:p>
    <w:p>
      <w:pPr>
        <w:pStyle w:val="ListBullet"/>
        <w:spacing w:after="80"/>
      </w:pPr>
      <w:r>
        <w:rPr>
          <w:b/>
          <w:color w:val="059669"/>
        </w:rPr>
        <w:t xml:space="preserve">Role-Based Privacy Safe Architecture: </w:t>
      </w:r>
      <w:r>
        <w:t>Implements fine-grained DTOs (PublicParcelDTO, SurveyorParcelDTO, AdminParcelDTO) ensuring citizen names and private contact data are masked for unauthenticated public viewers.</w:t>
      </w:r>
    </w:p>
    <w:p>
      <w:pPr>
        <w:pStyle w:val="ListBullet"/>
        <w:spacing w:after="80"/>
      </w:pPr>
      <w:r>
        <w:rPr>
          <w:b/>
          <w:color w:val="059669"/>
        </w:rPr>
        <w:t xml:space="preserve">24-Layer GIS Cadastral Workbench: </w:t>
      </w:r>
      <w:r>
        <w:t>Expands the GIS workbench with Layers 19–24 (Official Cadastre, Ownership Status, 1998 Boundaries, Drone Boundaries, Verified Parcels, Conflict Alerts) with dedicated Parcel Deep Dive.</w:t>
      </w:r>
    </w:p>
    <w:p>
      <w:pPr>
        <w:pStyle w:val="Heading1"/>
        <w:spacing w:before="280" w:after="120"/>
      </w:pPr>
      <w:r>
        <w:t>2. Database Schema &amp; Data Models</w:t>
      </w:r>
    </w:p>
    <w:p>
      <w:r>
        <w:t>The system extends the PostgreSQL/PostGIS foundation with 8 dedicated land-record models located in backend/app/models/land_records/: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Model / Table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Primary Columns &amp; Constraints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Functional Responsibility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LandParcel</w:t>
              <w:br/>
              <w:t>(land_parcels)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parcel_id (UQ), survey_number, official_area_m2, drone_measured_area_m2, cadastral_geometry, current_geometry, verified_geometry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Central cadastral parcel entity storing official vs drone geometry and classification.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LandOwner</w:t>
              <w:br/>
              <w:t>(land_owners)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owner_id (UQ), owner_reference, name, ownership_type, contact_reference, record_source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Registered Khatedar / property owner with legal entity classifications.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ParcelOwnership</w:t>
              <w:br/>
              <w:t>(parcel_ownerships)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parcel_id, owner_id, ownership_percentage, ownership_start_date, ownership_status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Many-to-many join tracking co-ownership shares and acquisition timelines.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LandRecord</w:t>
              <w:br/>
              <w:t>(land_records)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record_id, parcel_id, record_type, source, document_reference, checksum, metadata_json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Provenance record linking physical parcels to source Jamabandi/revenue books.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CadastralVersion</w:t>
              <w:br/>
              <w:t>(cadastral_versions)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version_number, geometry, source, effective_date, area_m2, created_by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Historical boundary evolution versions (1998 Settlement, 2015 Revision, 2024 Pilot, 2026 Resurvey).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ParcelChangeRecord</w:t>
              <w:br/>
              <w:t>(parcel_change_records)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change_record_id, change_type, severity, old_geometry, new_geometry, area_diff_m2, shift_m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AI-detected and surveyor-flagged boundary shifts and unauthorized structures.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ParcelDocument</w:t>
              <w:br/>
              <w:t>(parcel_documents)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document_id, parcel_id, title, document_type, file_format, storage_path, checksum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Associated binary documents (Jamabandi PDFs, Bhunaksha sheets, mutation deeds).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LandRecordImportSession</w:t>
              <w:br/>
              <w:t>(land_record_import_sessions)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session_id, source_name, source_type, total_records, successful_records, failed_records, checksum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Audit session log tracking batch imports, schema errors, and duplicate handling.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3. Privacy-Safe Role-Aware Architecture</w:t>
      </w:r>
    </w:p>
    <w:p>
      <w:r>
        <w:t>To comply with land governance data privacy standards, the backend enforces role-aware data projections via the X-User-Role header with three canonical permission levels: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59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User Role</w:t>
            </w:r>
          </w:p>
        </w:tc>
        <w:tc>
          <w:tcPr>
            <w:tcW w:type="dxa" w:w="3120"/>
            <w:shd w:fill="059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Target Audience</w:t>
            </w:r>
          </w:p>
        </w:tc>
        <w:tc>
          <w:tcPr>
            <w:tcW w:type="dxa" w:w="3120"/>
            <w:shd w:fill="059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PII &amp; Data Access Level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PUBLIC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Citizen / Open GIS Portal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Owner names masked (e.g., 'R***** P****'), contact references nullified, ownership share breakdown hidden. Read-only area and geometry metrics.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SURVEYOR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Field Revenue Officials &amp; Surveyors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Full legal owner names, Khasra numbers, primary owner references visible. Surveyor boundary sign-off and verification actions enabled.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ADMIN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Tehsildars &amp; System Administrators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Complete access to co-owner shares (%), mutation deed histories, batch import session management, and document attachment vaults.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4. Geospatial Matching &amp; 4-Way Area Comparison</w:t>
      </w:r>
    </w:p>
    <w:p>
      <w:r>
        <w:t>The ParcelMatchingEngine and ParcelComparisonEngine execute rigorous mathematical evaluations across all boundary sources:</w:t>
      </w:r>
    </w:p>
    <w:p>
      <w:r>
        <w:t>Matching Formula:</w:t>
        <w:br/>
        <w:t>Score = 0.45 × IoU + 0.25 × Area_Similarity + 0.20 × Centroid_Score + 0.10 × Survey_No_Match</w:t>
        <w:br/>
        <w:br/>
        <w:t>Comparison Metrics:</w:t>
        <w:br/>
        <w:t>• Area Reconciliation: Computes m², hectares, and acres (1 ha = 10,000 m², 1 acre = 4,046.8564 m²)</w:t>
        <w:br/>
        <w:t>• Difference Percentage: ((Drone Area - Official Area) / Official Area) × 100%</w:t>
        <w:br/>
        <w:t>• Perimeter Delta: Computes perimeter difference in meters using projected UTM EPSG:32643</w:t>
        <w:br/>
        <w:t>• Boundary Displacement: Calculates maximum physical boundary shift and centroid displacement in meters</w:t>
        <w:br/>
        <w:t>• Legal Classification: NO_SIGNIFICANT_CHANGE (&lt;=0.5%), MINOR_DISCREPANCY (&lt;=2.0%), SIGNIFICANT_DISCREPANCY (&lt;=5.0%), POTENTIAL_ENCROACHMENT (&gt;5.0%)</w:t>
      </w:r>
    </w:p>
    <w:p>
      <w:pPr>
        <w:pStyle w:val="Heading1"/>
        <w:spacing w:before="280" w:after="120"/>
      </w:pPr>
      <w:r>
        <w:t>5. Haripura Village 20-Parcel Representative Dataset</w:t>
      </w:r>
    </w:p>
    <w:p>
      <w:r>
        <w:t>A realistic dataset of 20 land parcels in Haripura Village (Tehsil Girwa, District Udaipur, Rajasthan) has been seeded into the database, labeled as DEMO / SIMULATED DATA. The dataset features varied agricultural crops, fallow land, water bodies, road alignments, and intentional boundary shifts for technical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Parcel ID</w:t>
            </w:r>
          </w:p>
        </w:tc>
        <w:tc>
          <w:tcPr>
            <w:tcW w:type="dxa" w:w="23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Khasra No</w:t>
            </w:r>
          </w:p>
        </w:tc>
        <w:tc>
          <w:tcPr>
            <w:tcW w:type="dxa" w:w="23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Official / Drone Area (m²)</w:t>
            </w:r>
          </w:p>
        </w:tc>
        <w:tc>
          <w:tcPr>
            <w:tcW w:type="dxa" w:w="23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Special Condition / Test Case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BS-P-001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12,500.0 m² / 12,385.7 m² (-0.91%)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Clear Titled Agricultural (Wheat / Mustard). Minor natural bund shift.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BS-P-005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104/2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3,200.0 m² / 3,057.5 m² (-4.45%)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POTENTIAL ENCROACHMENT: New unauthorized concrete structure on western buffer.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BS-P-008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4,800.0 m² / 4,800.0 m² (0.00%)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Clear Titled Gram Panchayat Community Water Reservoir (Nadi Pond).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BS-P-010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9,800.0 m² / 9,712.0 m² (-0.90%)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DISPUTED TITLE: Boundary shifted 1.8m westward along modern ridge bund.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BS-P-014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8,200.0 m² / 8,136.0 m² (-0.78%)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NEW STRUCTURE DETECTED: 64 m² solar irrigation pump shed in open field.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BS-P-020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6,200.0 m² / 6,200.0 m² (0.00%)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Public PWD Road Network &amp; Village Access Corridor (Tar Road).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6. Verification &amp; Automated Test Results</w:t>
      </w:r>
    </w:p>
    <w:p>
      <w:r>
        <w:t>All components have undergone strict automated testing and frontend bundle verification:</w:t>
      </w:r>
    </w:p>
    <w:p>
      <w:pPr>
        <w:pStyle w:val="ListBullet"/>
        <w:spacing w:after="80"/>
      </w:pPr>
      <w:r>
        <w:rPr>
          <w:b/>
          <w:color w:val="059669"/>
        </w:rPr>
        <w:t xml:space="preserve">Automated Pytest Suite: </w:t>
      </w:r>
      <w:r>
        <w:t>75 / 75 unit and integration tests passed in 12.53s covering DB models, CSV/JSON/GeoJSON importers, matching IoU formulas, 4-way area comparator, privacy DTO masking, surveyor verification, and REST APIs.</w:t>
      </w:r>
    </w:p>
    <w:p>
      <w:pPr>
        <w:pStyle w:val="ListBullet"/>
        <w:spacing w:after="80"/>
      </w:pPr>
      <w:r>
        <w:rPr>
          <w:b/>
          <w:color w:val="059669"/>
        </w:rPr>
        <w:t xml:space="preserve">Frontend Build Validation: </w:t>
      </w:r>
      <w:r>
        <w:t>npm run build passed with 0 TypeScript compilation errors and production Vite bundle packaging.</w:t>
      </w:r>
    </w:p>
    <w:p>
      <w:pPr>
        <w:pStyle w:val="ListBullet"/>
        <w:spacing w:after="80"/>
      </w:pPr>
      <w:r>
        <w:rPr>
          <w:b/>
          <w:color w:val="059669"/>
        </w:rPr>
        <w:t xml:space="preserve">Hardware Restriction Adherence: </w:t>
      </w:r>
      <w:r>
        <w:t>Strictly zero drone flight control, MAVLink, PX4, or autonomous navigation code implemented. Architecture consumes standardized sensor/storage inputs.</w:t>
      </w:r>
    </w:p>
    <w:p>
      <w:pPr>
        <w:pStyle w:val="ListBullet"/>
        <w:spacing w:after="80"/>
      </w:pPr>
      <w:r>
        <w:rPr>
          <w:b/>
          <w:color w:val="059669"/>
        </w:rPr>
        <w:t xml:space="preserve">Provenance &amp; Integrity: </w:t>
      </w:r>
      <w:r>
        <w:t>SHA-256 integrity checksums computed and verified on all incoming cadastral batches and document attachments.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