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059669"/>
          <w:sz w:val="56"/>
        </w:rPr>
        <w:t>BHOOMISYNC</w:t>
      </w:r>
    </w:p>
    <w:p>
      <w:pPr>
        <w:spacing w:after="280"/>
      </w:pPr>
      <w:r>
        <w:rPr>
          <w:b/>
          <w:color w:val="1E293B"/>
          <w:sz w:val="28"/>
        </w:rPr>
        <w:t>Technology-Driven Rural Agricultural Land Survey, Resurvey, Mapping &amp; Ingestion Platform</w:t>
      </w:r>
    </w:p>
    <w:p>
      <w:pPr>
        <w:spacing w:after="400"/>
      </w:pPr>
      <w:r>
        <w:rPr>
          <w:color w:val="64748B"/>
          <w:sz w:val="20"/>
        </w:rPr>
        <w:t>Drone Data Ingestion, Continuous Cloud Pipeline, Decoupled Gateways &amp; GIS Workflow Specification</w:t>
        <w:br/>
        <w:t>Version 2.0.0 • Foundation + Ingestion Pipeline Phase • Date: August 2026</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36" w:space="0" w:color="DC2626"/>
              <w:bottom w:val="none"/>
              <w:right w:val="none"/>
            </w:tcBorders>
          </w:tcPr>
          <w:p>
            <w:pPr>
              <w:spacing w:before="40" w:after="80"/>
            </w:pPr>
            <w:r>
              <w:rPr>
                <w:b/>
                <w:color w:val="059669"/>
                <w:sz w:val="21"/>
              </w:rPr>
              <w:t>📌 MANDATORY ARCHITECTURAL SCOPE RESTRICTION</w:t>
              <w:br/>
            </w:r>
            <w:r>
              <w:rPr>
                <w:color w:val="1E293B"/>
                <w:sz w:val="19"/>
              </w:rPr>
              <w:t>DRONE FLIGHT CONTROL IS STRICTLY OUT OF SCOPE AND NOT IMPLEMENTED.</w:t>
              <w:br/>
              <w:t>BhoomiSync contains no MAVLink, ArduPilot, PX4, ROS 2, autonomous navigation, or waypoint controls. BhoomiSync is purely a Data Acquisition, Ingestion, Cloud Storage, AI Segmentation, and GIS Cadastral Platform.</w:t>
            </w:r>
          </w:p>
        </w:tc>
      </w:tr>
    </w:tbl>
    <w:p/>
    <w:p>
      <w:pPr>
        <w:pStyle w:val="Heading1"/>
        <w:spacing w:before="320" w:after="120"/>
      </w:pPr>
      <w:r>
        <w:t>1. Executive Summary &amp; Project Objective</w:t>
      </w:r>
    </w:p>
    <w:p>
      <w:pPr>
        <w:spacing w:after="160"/>
      </w:pPr>
      <w:r>
        <w:t>BhoomiSync is engineered to resolve India's pressing rural land record challenges by modernizing agricultural cadastral surveying through drone sensor acquisition, continuous cloud ingestion, spatial photogrammetry, 3D LiDAR terrain modeling, and AI-driven boundary segmentation. The system transforms high-resolution multi-modal sensor data into centimeter-accurate, georeferenced 2D land maps and verifiable agricultural parcel geometries.</w:t>
      </w:r>
    </w:p>
    <w:p>
      <w:pPr>
        <w:pStyle w:val="Heading1"/>
        <w:spacing w:before="320" w:after="120"/>
      </w:pPr>
      <w:r>
        <w:t>2. Drone Data Ingestion &amp; Continuous Cloud Pipeline</w:t>
      </w:r>
    </w:p>
    <w:p>
      <w:r>
        <w:t>The Prompt 2 Ingestion Pipeline provides a robust, continuous streaming and batched ingestion architecture. The system accepts multi-sensor files, extracts rich spatial metadata, enforces cryptographic SHA-256 deduplication, maintains upload session lifecycles, and queues downstream processing jobs.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b/>
                <w:color w:val="FFFFFF"/>
              </w:rPr>
              <w:t>Sensor Payload</w:t>
            </w:r>
          </w:p>
        </w:tc>
        <w:tc>
          <w:tcPr>
            <w:tcW w:type="dxa" w:w="2340"/>
            <w:shd w:fill="0F172A"/>
            <w:tcMar>
              <w:top w:w="80" w:type="dxa"/>
              <w:bottom w:w="80" w:type="dxa"/>
              <w:left w:w="100" w:type="dxa"/>
              <w:right w:w="100" w:type="dxa"/>
            </w:tcMar>
          </w:tcPr>
          <w:p>
            <w:r>
              <w:rPr>
                <w:b/>
                <w:color w:val="FFFFFF"/>
              </w:rPr>
              <w:t>Supported Formats</w:t>
            </w:r>
          </w:p>
        </w:tc>
        <w:tc>
          <w:tcPr>
            <w:tcW w:type="dxa" w:w="2340"/>
            <w:shd w:fill="0F172A"/>
            <w:tcMar>
              <w:top w:w="80" w:type="dxa"/>
              <w:bottom w:w="80" w:type="dxa"/>
              <w:left w:w="100" w:type="dxa"/>
              <w:right w:w="100" w:type="dxa"/>
            </w:tcMar>
          </w:tcPr>
          <w:p>
            <w:r>
              <w:rPr>
                <w:b/>
                <w:color w:val="FFFFFF"/>
              </w:rPr>
              <w:t>Extracted Spatial Metadata</w:t>
            </w:r>
          </w:p>
        </w:tc>
        <w:tc>
          <w:tcPr>
            <w:tcW w:type="dxa" w:w="2340"/>
            <w:shd w:fill="0F172A"/>
            <w:tcMar>
              <w:top w:w="80" w:type="dxa"/>
              <w:bottom w:w="80" w:type="dxa"/>
              <w:left w:w="100" w:type="dxa"/>
              <w:right w:w="100" w:type="dxa"/>
            </w:tcMar>
          </w:tcPr>
          <w:p>
            <w:r>
              <w:rPr>
                <w:b/>
                <w:color w:val="FFFFFF"/>
              </w:rPr>
              <w:t>Downstream Processing Job</w:t>
            </w:r>
          </w:p>
        </w:tc>
      </w:tr>
      <w:tr>
        <w:tc>
          <w:tcPr>
            <w:tcW w:type="dxa" w:w="2340"/>
            <w:shd w:fill="F8FAFC"/>
            <w:tcMar>
              <w:top w:w="70" w:type="dxa"/>
              <w:bottom w:w="70" w:type="dxa"/>
              <w:left w:w="90" w:type="dxa"/>
              <w:right w:w="90" w:type="dxa"/>
            </w:tcMar>
          </w:tcPr>
          <w:p>
            <w:r>
              <w:rPr>
                <w:sz w:val="17"/>
              </w:rPr>
              <w:t>Nadir Camera Imagery</w:t>
            </w:r>
          </w:p>
        </w:tc>
        <w:tc>
          <w:tcPr>
            <w:tcW w:type="dxa" w:w="2340"/>
            <w:shd w:fill="F8FAFC"/>
            <w:tcMar>
              <w:top w:w="70" w:type="dxa"/>
              <w:bottom w:w="70" w:type="dxa"/>
              <w:left w:w="90" w:type="dxa"/>
              <w:right w:w="90" w:type="dxa"/>
            </w:tcMar>
          </w:tcPr>
          <w:p>
            <w:r>
              <w:rPr>
                <w:sz w:val="17"/>
              </w:rPr>
              <w:t>JPEG, PNG, TIFF, DNG</w:t>
            </w:r>
          </w:p>
        </w:tc>
        <w:tc>
          <w:tcPr>
            <w:tcW w:type="dxa" w:w="2340"/>
            <w:shd w:fill="F8FAFC"/>
            <w:tcMar>
              <w:top w:w="70" w:type="dxa"/>
              <w:bottom w:w="70" w:type="dxa"/>
              <w:left w:w="90" w:type="dxa"/>
              <w:right w:w="90" w:type="dxa"/>
            </w:tcMar>
          </w:tcPr>
          <w:p>
            <w:r>
              <w:rPr>
                <w:sz w:val="17"/>
              </w:rPr>
              <w:t>GPS Lat/Lon/Alt, EXIF timestamp, Camera Make/Model, Focal Length, ISO</w:t>
            </w:r>
          </w:p>
        </w:tc>
        <w:tc>
          <w:tcPr>
            <w:tcW w:type="dxa" w:w="2340"/>
            <w:shd w:fill="F8FAFC"/>
            <w:tcMar>
              <w:top w:w="70" w:type="dxa"/>
              <w:bottom w:w="70" w:type="dxa"/>
              <w:left w:w="90" w:type="dxa"/>
              <w:right w:w="90" w:type="dxa"/>
            </w:tcMar>
          </w:tcPr>
          <w:p>
            <w:r>
              <w:rPr>
                <w:sz w:val="17"/>
              </w:rPr>
              <w:t>IMAGE_PREPROCESSING</w:t>
            </w:r>
          </w:p>
        </w:tc>
      </w:tr>
      <w:tr>
        <w:tc>
          <w:tcPr>
            <w:tcW w:type="dxa" w:w="2340"/>
            <w:shd w:fill="FFFFFF"/>
            <w:tcMar>
              <w:top w:w="70" w:type="dxa"/>
              <w:bottom w:w="70" w:type="dxa"/>
              <w:left w:w="90" w:type="dxa"/>
              <w:right w:w="90" w:type="dxa"/>
            </w:tcMar>
          </w:tcPr>
          <w:p>
            <w:r>
              <w:rPr>
                <w:sz w:val="17"/>
              </w:rPr>
              <w:t>3D LiDAR Point Cloud</w:t>
            </w:r>
          </w:p>
        </w:tc>
        <w:tc>
          <w:tcPr>
            <w:tcW w:type="dxa" w:w="2340"/>
            <w:shd w:fill="FFFFFF"/>
            <w:tcMar>
              <w:top w:w="70" w:type="dxa"/>
              <w:bottom w:w="70" w:type="dxa"/>
              <w:left w:w="90" w:type="dxa"/>
              <w:right w:w="90" w:type="dxa"/>
            </w:tcMar>
          </w:tcPr>
          <w:p>
            <w:r>
              <w:rPr>
                <w:sz w:val="17"/>
              </w:rPr>
              <w:t>LAS, LAZ, PLY, PCD, CSV</w:t>
            </w:r>
          </w:p>
        </w:tc>
        <w:tc>
          <w:tcPr>
            <w:tcW w:type="dxa" w:w="2340"/>
            <w:shd w:fill="FFFFFF"/>
            <w:tcMar>
              <w:top w:w="70" w:type="dxa"/>
              <w:bottom w:w="70" w:type="dxa"/>
              <w:left w:w="90" w:type="dxa"/>
              <w:right w:w="90" w:type="dxa"/>
            </w:tcMar>
          </w:tcPr>
          <w:p>
            <w:r>
              <w:rPr>
                <w:sz w:val="17"/>
              </w:rPr>
              <w:t>Point Count, 3D Bounding Box [X/Y/Z min &amp; max], CRS, Elevation Span</w:t>
            </w:r>
          </w:p>
        </w:tc>
        <w:tc>
          <w:tcPr>
            <w:tcW w:type="dxa" w:w="2340"/>
            <w:shd w:fill="FFFFFF"/>
            <w:tcMar>
              <w:top w:w="70" w:type="dxa"/>
              <w:bottom w:w="70" w:type="dxa"/>
              <w:left w:w="90" w:type="dxa"/>
              <w:right w:w="90" w:type="dxa"/>
            </w:tcMar>
          </w:tcPr>
          <w:p>
            <w:r>
              <w:rPr>
                <w:sz w:val="17"/>
              </w:rPr>
              <w:t>LIDAR_PREPROCESSING</w:t>
            </w:r>
          </w:p>
        </w:tc>
      </w:tr>
      <w:tr>
        <w:tc>
          <w:tcPr>
            <w:tcW w:type="dxa" w:w="2340"/>
            <w:shd w:fill="F8FAFC"/>
            <w:tcMar>
              <w:top w:w="70" w:type="dxa"/>
              <w:bottom w:w="70" w:type="dxa"/>
              <w:left w:w="90" w:type="dxa"/>
              <w:right w:w="90" w:type="dxa"/>
            </w:tcMar>
          </w:tcPr>
          <w:p>
            <w:r>
              <w:rPr>
                <w:sz w:val="17"/>
              </w:rPr>
              <w:t>RTK / GNSS Positioning</w:t>
            </w:r>
          </w:p>
        </w:tc>
        <w:tc>
          <w:tcPr>
            <w:tcW w:type="dxa" w:w="2340"/>
            <w:shd w:fill="F8FAFC"/>
            <w:tcMar>
              <w:top w:w="70" w:type="dxa"/>
              <w:bottom w:w="70" w:type="dxa"/>
              <w:left w:w="90" w:type="dxa"/>
              <w:right w:w="90" w:type="dxa"/>
            </w:tcMar>
          </w:tcPr>
          <w:p>
            <w:r>
              <w:rPr>
                <w:sz w:val="17"/>
              </w:rPr>
              <w:t>RINEX, NMEA ($GNGGA), JSON, CSV</w:t>
            </w:r>
          </w:p>
        </w:tc>
        <w:tc>
          <w:tcPr>
            <w:tcW w:type="dxa" w:w="2340"/>
            <w:shd w:fill="F8FAFC"/>
            <w:tcMar>
              <w:top w:w="70" w:type="dxa"/>
              <w:bottom w:w="70" w:type="dxa"/>
              <w:left w:w="90" w:type="dxa"/>
              <w:right w:w="90" w:type="dxa"/>
            </w:tcMar>
          </w:tcPr>
          <w:p>
            <w:r>
              <w:rPr>
                <w:sz w:val="17"/>
              </w:rPr>
              <w:t>Fixed/Float RTK fix status, Horizontal/Vertical Precision (cm), Satellites</w:t>
            </w:r>
          </w:p>
        </w:tc>
        <w:tc>
          <w:tcPr>
            <w:tcW w:type="dxa" w:w="2340"/>
            <w:shd w:fill="F8FAFC"/>
            <w:tcMar>
              <w:top w:w="70" w:type="dxa"/>
              <w:bottom w:w="70" w:type="dxa"/>
              <w:left w:w="90" w:type="dxa"/>
              <w:right w:w="90" w:type="dxa"/>
            </w:tcMar>
          </w:tcPr>
          <w:p>
            <w:r>
              <w:rPr>
                <w:sz w:val="17"/>
              </w:rPr>
              <w:t>GEOREFERENCING</w:t>
            </w:r>
          </w:p>
        </w:tc>
      </w:tr>
    </w:tbl>
    <w:p/>
    <w:p>
      <w:pPr>
        <w:pStyle w:val="Heading1"/>
        <w:spacing w:before="320" w:after="120"/>
      </w:pPr>
      <w:r>
        <w:t>3. Upload Session &amp; File Lifecycle State Machines</w:t>
      </w:r>
    </w:p>
    <w:p>
      <w:r>
        <w:t>To ensure high reliability over intermittent field cellular connections, the system models continuous uploads as state-machine driven sessions:</w:t>
        <w:br/>
        <w:t>• Session Lifecycles: CREATED ──&gt; UPLOADING ──&gt; COMPLETED / PARTIAL / FAILED / CANCELLED</w:t>
        <w:br/>
        <w:t>• File Lifecycles: PENDING ──&gt; UPLOADING ──&gt; UPLOADED ──&gt; VALIDATED ──&gt; QUEUED ──&gt; PROCESSING ──&gt; PROCESSED / FAILED</w:t>
        <w:br/>
        <w:t>• Deduplication Guarantee: Checks SHA-256 hashes against existing survey files to prevent redundant storage allocation.</w:t>
      </w:r>
    </w:p>
    <w:p>
      <w:pPr>
        <w:pStyle w:val="Heading1"/>
        <w:spacing w:before="320" w:after="120"/>
      </w:pPr>
      <w:r>
        <w:t>4. Visual Platform Walkthrough &amp; Verification</w:t>
      </w:r>
    </w:p>
    <w:p/>
    <w:p>
      <w:r>
        <w:drawing>
          <wp:inline xmlns:a="http://schemas.openxmlformats.org/drawingml/2006/main" xmlns:pic="http://schemas.openxmlformats.org/drawingml/2006/picture">
            <wp:extent cx="5669280" cy="2979325"/>
            <wp:docPr id="1" name="Picture 1"/>
            <wp:cNvGraphicFramePr>
              <a:graphicFrameLocks noChangeAspect="1"/>
            </wp:cNvGraphicFramePr>
            <a:graphic>
              <a:graphicData uri="http://schemas.openxmlformats.org/drawingml/2006/picture">
                <pic:pic>
                  <pic:nvPicPr>
                    <pic:cNvPr id="0" name="dashboard_page_1788158221629.png"/>
                    <pic:cNvPicPr/>
                  </pic:nvPicPr>
                  <pic:blipFill>
                    <a:blip r:embed="rId11"/>
                    <a:stretch>
                      <a:fillRect/>
                    </a:stretch>
                  </pic:blipFill>
                  <pic:spPr>
                    <a:xfrm>
                      <a:off x="0" y="0"/>
                      <a:ext cx="5669280" cy="2979325"/>
                    </a:xfrm>
                    <a:prstGeom prst="rect"/>
                  </pic:spPr>
                </pic:pic>
              </a:graphicData>
            </a:graphic>
          </wp:inline>
        </w:drawing>
      </w:r>
    </w:p>
    <w:p>
      <w:pPr>
        <w:jc w:val="center"/>
      </w:pPr>
      <w:r>
        <w:rPr>
          <w:i/>
          <w:color w:val="64748B"/>
          <w:sz w:val="17"/>
        </w:rPr>
        <w:t>Figure 1: BhoomiSync Operations Dashboard with Launch Drone Ingestion Station trigger.</w:t>
      </w:r>
    </w:p>
    <w:p/>
    <w:p>
      <w:r>
        <w:drawing>
          <wp:inline xmlns:a="http://schemas.openxmlformats.org/drawingml/2006/main" xmlns:pic="http://schemas.openxmlformats.org/drawingml/2006/picture">
            <wp:extent cx="5669280" cy="2979325"/>
            <wp:docPr id="2" name="Picture 2"/>
            <wp:cNvGraphicFramePr>
              <a:graphicFrameLocks noChangeAspect="1"/>
            </wp:cNvGraphicFramePr>
            <a:graphic>
              <a:graphicData uri="http://schemas.openxmlformats.org/drawingml/2006/picture">
                <pic:pic>
                  <pic:nvPicPr>
                    <pic:cNvPr id="0" name="gis_map_workbench_1788158666575.png"/>
                    <pic:cNvPicPr/>
                  </pic:nvPicPr>
                  <pic:blipFill>
                    <a:blip r:embed="rId12"/>
                    <a:stretch>
                      <a:fillRect/>
                    </a:stretch>
                  </pic:blipFill>
                  <pic:spPr>
                    <a:xfrm>
                      <a:off x="0" y="0"/>
                      <a:ext cx="5669280" cy="2979325"/>
                    </a:xfrm>
                    <a:prstGeom prst="rect"/>
                  </pic:spPr>
                </pic:pic>
              </a:graphicData>
            </a:graphic>
          </wp:inline>
        </w:drawing>
      </w:r>
    </w:p>
    <w:p>
      <w:pPr>
        <w:jc w:val="center"/>
      </w:pPr>
      <w:r>
        <w:rPr>
          <w:i/>
          <w:color w:val="64748B"/>
          <w:sz w:val="17"/>
        </w:rPr>
        <w:t>Figure 2: Interactive GIS Map Workbench rendering real-time photo capture points, LiDAR footprint, and RTK flight path.</w:t>
      </w:r>
    </w:p>
    <w:p/>
    <w:p>
      <w:r>
        <w:drawing>
          <wp:inline xmlns:a="http://schemas.openxmlformats.org/drawingml/2006/main" xmlns:pic="http://schemas.openxmlformats.org/drawingml/2006/picture">
            <wp:extent cx="5669280" cy="2979325"/>
            <wp:docPr id="3" name="Picture 3"/>
            <wp:cNvGraphicFramePr>
              <a:graphicFrameLocks noChangeAspect="1"/>
            </wp:cNvGraphicFramePr>
            <a:graphic>
              <a:graphicData uri="http://schemas.openxmlformats.org/drawingml/2006/picture">
                <pic:pic>
                  <pic:nvPicPr>
                    <pic:cNvPr id="0" name="gis_map_popup_1788158902985.png"/>
                    <pic:cNvPicPr/>
                  </pic:nvPicPr>
                  <pic:blipFill>
                    <a:blip r:embed="rId13"/>
                    <a:stretch>
                      <a:fillRect/>
                    </a:stretch>
                  </pic:blipFill>
                  <pic:spPr>
                    <a:xfrm>
                      <a:off x="0" y="0"/>
                      <a:ext cx="5669280" cy="2979325"/>
                    </a:xfrm>
                    <a:prstGeom prst="rect"/>
                  </pic:spPr>
                </pic:pic>
              </a:graphicData>
            </a:graphic>
          </wp:inline>
        </w:drawing>
      </w:r>
    </w:p>
    <w:p>
      <w:pPr>
        <w:jc w:val="center"/>
      </w:pPr>
      <w:r>
        <w:rPr>
          <w:i/>
          <w:color w:val="64748B"/>
          <w:sz w:val="17"/>
        </w:rPr>
        <w:t>Figure 3: Georeferenced Camera Photo popup inspector displaying altitude and coordinate HUD on satellite tiles.</w:t>
      </w:r>
    </w:p>
    <w:p/>
    <w:p>
      <w:r>
        <w:drawing>
          <wp:inline xmlns:a="http://schemas.openxmlformats.org/drawingml/2006/main" xmlns:pic="http://schemas.openxmlformats.org/drawingml/2006/picture">
            <wp:extent cx="5669280" cy="3950593"/>
            <wp:docPr id="4" name="Picture 4"/>
            <wp:cNvGraphicFramePr>
              <a:graphicFrameLocks noChangeAspect="1"/>
            </wp:cNvGraphicFramePr>
            <a:graphic>
              <a:graphicData uri="http://schemas.openxmlformats.org/drawingml/2006/picture">
                <pic:pic>
                  <pic:nvPicPr>
                    <pic:cNvPr id="0" name="provenance_dag_tab_1788155896665.png"/>
                    <pic:cNvPicPr/>
                  </pic:nvPicPr>
                  <pic:blipFill>
                    <a:blip r:embed="rId14"/>
                    <a:stretch>
                      <a:fillRect/>
                    </a:stretch>
                  </pic:blipFill>
                  <pic:spPr>
                    <a:xfrm>
                      <a:off x="0" y="0"/>
                      <a:ext cx="5669280" cy="3950593"/>
                    </a:xfrm>
                    <a:prstGeom prst="rect"/>
                  </pic:spPr>
                </pic:pic>
              </a:graphicData>
            </a:graphic>
          </wp:inline>
        </w:drawing>
      </w:r>
    </w:p>
    <w:p>
      <w:pPr>
        <w:jc w:val="center"/>
      </w:pPr>
      <w:r>
        <w:rPr>
          <w:i/>
          <w:color w:val="64748B"/>
          <w:sz w:val="17"/>
        </w:rPr>
        <w:t>Figure 4: Immutable Provenance DAG Graph tracking Tiers 1-3 dataset transformations.</w:t>
      </w:r>
    </w:p>
    <w:p/>
    <w:p>
      <w:r>
        <w:drawing>
          <wp:inline xmlns:a="http://schemas.openxmlformats.org/drawingml/2006/main" xmlns:pic="http://schemas.openxmlformats.org/drawingml/2006/picture">
            <wp:extent cx="5669280" cy="3950593"/>
            <wp:docPr id="5" name="Picture 5"/>
            <wp:cNvGraphicFramePr>
              <a:graphicFrameLocks noChangeAspect="1"/>
            </wp:cNvGraphicFramePr>
            <a:graphic>
              <a:graphicData uri="http://schemas.openxmlformats.org/drawingml/2006/picture">
                <pic:pic>
                  <pic:nvPicPr>
                    <pic:cNvPr id="0" name="ai_inference_manifest_1788156129403.png"/>
                    <pic:cNvPicPr/>
                  </pic:nvPicPr>
                  <pic:blipFill>
                    <a:blip r:embed="rId15"/>
                    <a:stretch>
                      <a:fillRect/>
                    </a:stretch>
                  </pic:blipFill>
                  <pic:spPr>
                    <a:xfrm>
                      <a:off x="0" y="0"/>
                      <a:ext cx="5669280" cy="3950593"/>
                    </a:xfrm>
                    <a:prstGeom prst="rect"/>
                  </pic:spPr>
                </pic:pic>
              </a:graphicData>
            </a:graphic>
          </wp:inline>
        </w:drawing>
      </w:r>
    </w:p>
    <w:p>
      <w:pPr>
        <w:jc w:val="center"/>
      </w:pPr>
      <w:r>
        <w:rPr>
          <w:i/>
          <w:color w:val="64748B"/>
          <w:sz w:val="17"/>
        </w:rPr>
        <w:t>Figure 5: AI Intelligence Workbench executing model-agnostic cadastral boundary segmentation inference.</w:t>
      </w:r>
    </w:p>
    <w:p/>
    <w:p>
      <w:r>
        <w:drawing>
          <wp:inline xmlns:a="http://schemas.openxmlformats.org/drawingml/2006/main" xmlns:pic="http://schemas.openxmlformats.org/drawingml/2006/picture">
            <wp:extent cx="5669280" cy="3950593"/>
            <wp:docPr id="6" name="Picture 6"/>
            <wp:cNvGraphicFramePr>
              <a:graphicFrameLocks noChangeAspect="1"/>
            </wp:cNvGraphicFramePr>
            <a:graphic>
              <a:graphicData uri="http://schemas.openxmlformats.org/drawingml/2006/picture">
                <pic:pic>
                  <pic:nvPicPr>
                    <pic:cNvPr id="0" name="historical_cadastre_page_1788156237208.png"/>
                    <pic:cNvPicPr/>
                  </pic:nvPicPr>
                  <pic:blipFill>
                    <a:blip r:embed="rId16"/>
                    <a:stretch>
                      <a:fillRect/>
                    </a:stretch>
                  </pic:blipFill>
                  <pic:spPr>
                    <a:xfrm>
                      <a:off x="0" y="0"/>
                      <a:ext cx="5669280" cy="3950593"/>
                    </a:xfrm>
                    <a:prstGeom prst="rect"/>
                  </pic:spPr>
                </pic:pic>
              </a:graphicData>
            </a:graphic>
          </wp:inline>
        </w:drawing>
      </w:r>
    </w:p>
    <w:p>
      <w:pPr>
        <w:jc w:val="center"/>
      </w:pPr>
      <w:r>
        <w:rPr>
          <w:i/>
          <w:color w:val="64748B"/>
          <w:sz w:val="17"/>
        </w:rPr>
        <w:t>Figure 6: Historical Revenue Cadastre vs Drone Resurvey Comparison Workbench.</w:t>
      </w:r>
    </w:p>
    <w:p/>
    <w:p>
      <w:r>
        <w:drawing>
          <wp:inline xmlns:a="http://schemas.openxmlformats.org/drawingml/2006/main" xmlns:pic="http://schemas.openxmlformats.org/drawingml/2006/picture">
            <wp:extent cx="5669280" cy="3950593"/>
            <wp:docPr id="7" name="Picture 7"/>
            <wp:cNvGraphicFramePr>
              <a:graphicFrameLocks noChangeAspect="1"/>
            </wp:cNvGraphicFramePr>
            <a:graphic>
              <a:graphicData uri="http://schemas.openxmlformats.org/drawingml/2006/picture">
                <pic:pic>
                  <pic:nvPicPr>
                    <pic:cNvPr id="0" name="system_gateways_page_1788156356918.png"/>
                    <pic:cNvPicPr/>
                  </pic:nvPicPr>
                  <pic:blipFill>
                    <a:blip r:embed="rId17"/>
                    <a:stretch>
                      <a:fillRect/>
                    </a:stretch>
                  </pic:blipFill>
                  <pic:spPr>
                    <a:xfrm>
                      <a:off x="0" y="0"/>
                      <a:ext cx="5669280" cy="3950593"/>
                    </a:xfrm>
                    <a:prstGeom prst="rect"/>
                  </pic:spPr>
                </pic:pic>
              </a:graphicData>
            </a:graphic>
          </wp:inline>
        </w:drawing>
      </w:r>
    </w:p>
    <w:p>
      <w:pPr>
        <w:jc w:val="center"/>
      </w:pPr>
      <w:r>
        <w:rPr>
          <w:i/>
          <w:color w:val="64748B"/>
          <w:sz w:val="17"/>
        </w:rPr>
        <w:t>Figure 7: System Architecture Monitor tracking ESP32PhoneGateway, MockStorageProvider, and PostGIS health.</w:t>
      </w:r>
    </w:p>
    <w:p>
      <w:pPr>
        <w:pStyle w:val="Heading1"/>
        <w:spacing w:before="320" w:after="120"/>
      </w:pPr>
      <w:r>
        <w:t>5. Canonical REST API Catalog (/api/v1/)</w:t>
      </w:r>
    </w:p>
    <w:tbl>
      <w:tblPr>
        <w:tblW w:type="auto" w:w="0"/>
        <w:jc w:val="center"/>
        <w:tblLook w:firstColumn="1" w:firstRow="1" w:lastColumn="0" w:lastRow="0" w:noHBand="0" w:noVBand="1" w:val="04A0"/>
      </w:tblPr>
      <w:tblGrid>
        <w:gridCol w:w="3120"/>
        <w:gridCol w:w="3120"/>
        <w:gridCol w:w="3120"/>
      </w:tblGrid>
      <w:tr>
        <w:tc>
          <w:tcPr>
            <w:tcW w:type="dxa" w:w="3120"/>
            <w:shd w:fill="047857"/>
            <w:tcMar>
              <w:top w:w="80" w:type="dxa"/>
              <w:bottom w:w="80" w:type="dxa"/>
              <w:left w:w="100" w:type="dxa"/>
              <w:right w:w="100" w:type="dxa"/>
            </w:tcMar>
          </w:tcPr>
          <w:p>
            <w:r>
              <w:rPr>
                <w:b/>
                <w:color w:val="FFFFFF"/>
              </w:rPr>
              <w:t>Method</w:t>
            </w:r>
          </w:p>
        </w:tc>
        <w:tc>
          <w:tcPr>
            <w:tcW w:type="dxa" w:w="3120"/>
            <w:shd w:fill="047857"/>
            <w:tcMar>
              <w:top w:w="80" w:type="dxa"/>
              <w:bottom w:w="80" w:type="dxa"/>
              <w:left w:w="100" w:type="dxa"/>
              <w:right w:w="100" w:type="dxa"/>
            </w:tcMar>
          </w:tcPr>
          <w:p>
            <w:r>
              <w:rPr>
                <w:b/>
                <w:color w:val="FFFFFF"/>
              </w:rPr>
              <w:t>Canonical Endpoint (/api/v1/)</w:t>
            </w:r>
          </w:p>
        </w:tc>
        <w:tc>
          <w:tcPr>
            <w:tcW w:type="dxa" w:w="3120"/>
            <w:shd w:fill="047857"/>
            <w:tcMar>
              <w:top w:w="80" w:type="dxa"/>
              <w:bottom w:w="80" w:type="dxa"/>
              <w:left w:w="100" w:type="dxa"/>
              <w:right w:w="100" w:type="dxa"/>
            </w:tcMar>
          </w:tcPr>
          <w:p>
            <w:r>
              <w:rPr>
                <w:b/>
                <w:color w:val="FFFFFF"/>
              </w:rPr>
              <w:t>Functional Description</w:t>
            </w:r>
          </w:p>
        </w:tc>
      </w:tr>
      <w:tr>
        <w:tc>
          <w:tcPr>
            <w:tcW w:type="dxa" w:w="3120"/>
            <w:shd w:fill="F0FDF4"/>
            <w:tcMar>
              <w:top w:w="60" w:type="dxa"/>
              <w:bottom w:w="60" w:type="dxa"/>
              <w:left w:w="80" w:type="dxa"/>
              <w:right w:w="80" w:type="dxa"/>
            </w:tcMar>
          </w:tcPr>
          <w:p>
            <w:r>
              <w:rPr>
                <w:b/>
                <w:sz w:val="17"/>
              </w:rPr>
              <w:t>GET</w:t>
            </w:r>
          </w:p>
        </w:tc>
        <w:tc>
          <w:tcPr>
            <w:tcW w:type="dxa" w:w="3120"/>
            <w:shd w:fill="F0FDF4"/>
            <w:tcMar>
              <w:top w:w="60" w:type="dxa"/>
              <w:bottom w:w="60" w:type="dxa"/>
              <w:left w:w="80" w:type="dxa"/>
              <w:right w:w="80" w:type="dxa"/>
            </w:tcMar>
          </w:tcPr>
          <w:p>
            <w:r>
              <w:rPr>
                <w:sz w:val="17"/>
              </w:rPr>
              <w:t>/api/v1/health</w:t>
            </w:r>
          </w:p>
        </w:tc>
        <w:tc>
          <w:tcPr>
            <w:tcW w:type="dxa" w:w="3120"/>
            <w:shd w:fill="F0FDF4"/>
            <w:tcMar>
              <w:top w:w="60" w:type="dxa"/>
              <w:bottom w:w="60" w:type="dxa"/>
              <w:left w:w="80" w:type="dxa"/>
              <w:right w:w="80" w:type="dxa"/>
            </w:tcMar>
          </w:tcPr>
          <w:p>
            <w:r>
              <w:rPr>
                <w:sz w:val="17"/>
              </w:rPr>
              <w:t>Platform health, PostGIS status, storage provider, and active gateway type.</w:t>
            </w:r>
          </w:p>
        </w:tc>
      </w:tr>
      <w:tr>
        <w:tc>
          <w:tcPr>
            <w:tcW w:type="dxa" w:w="3120"/>
            <w:shd w:fill="FFFFFF"/>
            <w:tcMar>
              <w:top w:w="60" w:type="dxa"/>
              <w:bottom w:w="60" w:type="dxa"/>
              <w:left w:w="80" w:type="dxa"/>
              <w:right w:w="80" w:type="dxa"/>
            </w:tcMar>
          </w:tcPr>
          <w:p>
            <w:r>
              <w:rPr>
                <w:b/>
                <w:sz w:val="17"/>
              </w:rPr>
              <w:t>GET</w:t>
            </w:r>
          </w:p>
        </w:tc>
        <w:tc>
          <w:tcPr>
            <w:tcW w:type="dxa" w:w="3120"/>
            <w:shd w:fill="FFFFFF"/>
            <w:tcMar>
              <w:top w:w="60" w:type="dxa"/>
              <w:bottom w:w="60" w:type="dxa"/>
              <w:left w:w="80" w:type="dxa"/>
              <w:right w:w="80" w:type="dxa"/>
            </w:tcMar>
          </w:tcPr>
          <w:p>
            <w:r>
              <w:rPr>
                <w:sz w:val="17"/>
              </w:rPr>
              <w:t>/api/v1/sensors</w:t>
            </w:r>
          </w:p>
        </w:tc>
        <w:tc>
          <w:tcPr>
            <w:tcW w:type="dxa" w:w="3120"/>
            <w:shd w:fill="FFFFFF"/>
            <w:tcMar>
              <w:top w:w="60" w:type="dxa"/>
              <w:bottom w:w="60" w:type="dxa"/>
              <w:left w:w="80" w:type="dxa"/>
              <w:right w:w="80" w:type="dxa"/>
            </w:tcMar>
          </w:tcPr>
          <w:p>
            <w:r>
              <w:rPr>
                <w:sz w:val="17"/>
              </w:rPr>
              <w:t>List registered drone sensor payloads (Camera, LiDAR, RTK GNSS).</w:t>
            </w:r>
          </w:p>
        </w:tc>
      </w:tr>
      <w:tr>
        <w:tc>
          <w:tcPr>
            <w:tcW w:type="dxa" w:w="3120"/>
            <w:shd w:fill="F0FDF4"/>
            <w:tcMar>
              <w:top w:w="60" w:type="dxa"/>
              <w:bottom w:w="60" w:type="dxa"/>
              <w:left w:w="80" w:type="dxa"/>
              <w:right w:w="80" w:type="dxa"/>
            </w:tcMar>
          </w:tcPr>
          <w:p>
            <w:r>
              <w:rPr>
                <w:b/>
                <w:sz w:val="17"/>
              </w:rPr>
              <w:t>POST</w:t>
            </w:r>
          </w:p>
        </w:tc>
        <w:tc>
          <w:tcPr>
            <w:tcW w:type="dxa" w:w="3120"/>
            <w:shd w:fill="F0FDF4"/>
            <w:tcMar>
              <w:top w:w="60" w:type="dxa"/>
              <w:bottom w:w="60" w:type="dxa"/>
              <w:left w:w="80" w:type="dxa"/>
              <w:right w:w="80" w:type="dxa"/>
            </w:tcMar>
          </w:tcPr>
          <w:p>
            <w:r>
              <w:rPr>
                <w:sz w:val="17"/>
              </w:rPr>
              <w:t>/api/v1/surveys/{id}/upload-sessions</w:t>
            </w:r>
          </w:p>
        </w:tc>
        <w:tc>
          <w:tcPr>
            <w:tcW w:type="dxa" w:w="3120"/>
            <w:shd w:fill="F0FDF4"/>
            <w:tcMar>
              <w:top w:w="60" w:type="dxa"/>
              <w:bottom w:w="60" w:type="dxa"/>
              <w:left w:w="80" w:type="dxa"/>
              <w:right w:w="80" w:type="dxa"/>
            </w:tcMar>
          </w:tcPr>
          <w:p>
            <w:r>
              <w:rPr>
                <w:sz w:val="17"/>
              </w:rPr>
              <w:t>Initialize continuous / batched ingestion sync session.</w:t>
            </w:r>
          </w:p>
        </w:tc>
      </w:tr>
      <w:tr>
        <w:tc>
          <w:tcPr>
            <w:tcW w:type="dxa" w:w="3120"/>
            <w:shd w:fill="FFFFFF"/>
            <w:tcMar>
              <w:top w:w="60" w:type="dxa"/>
              <w:bottom w:w="60" w:type="dxa"/>
              <w:left w:w="80" w:type="dxa"/>
              <w:right w:w="80" w:type="dxa"/>
            </w:tcMar>
          </w:tcPr>
          <w:p>
            <w:r>
              <w:rPr>
                <w:b/>
                <w:sz w:val="17"/>
              </w:rPr>
              <w:t>POST</w:t>
            </w:r>
          </w:p>
        </w:tc>
        <w:tc>
          <w:tcPr>
            <w:tcW w:type="dxa" w:w="3120"/>
            <w:shd w:fill="FFFFFF"/>
            <w:tcMar>
              <w:top w:w="60" w:type="dxa"/>
              <w:bottom w:w="60" w:type="dxa"/>
              <w:left w:w="80" w:type="dxa"/>
              <w:right w:w="80" w:type="dxa"/>
            </w:tcMar>
          </w:tcPr>
          <w:p>
            <w:r>
              <w:rPr>
                <w:sz w:val="17"/>
              </w:rPr>
              <w:t>/api/v1/surveys/{id}/upload</w:t>
            </w:r>
          </w:p>
        </w:tc>
        <w:tc>
          <w:tcPr>
            <w:tcW w:type="dxa" w:w="3120"/>
            <w:shd w:fill="FFFFFF"/>
            <w:tcMar>
              <w:top w:w="60" w:type="dxa"/>
              <w:bottom w:w="60" w:type="dxa"/>
              <w:left w:w="80" w:type="dxa"/>
              <w:right w:w="80" w:type="dxa"/>
            </w:tcMar>
          </w:tcPr>
          <w:p>
            <w:r>
              <w:rPr>
                <w:sz w:val="17"/>
              </w:rPr>
              <w:t>Multipart continuous sensor file upload with EXIF/LiDAR parsing &amp; dedup.</w:t>
            </w:r>
          </w:p>
        </w:tc>
      </w:tr>
      <w:tr>
        <w:tc>
          <w:tcPr>
            <w:tcW w:type="dxa" w:w="3120"/>
            <w:shd w:fill="F0FDF4"/>
            <w:tcMar>
              <w:top w:w="60" w:type="dxa"/>
              <w:bottom w:w="60" w:type="dxa"/>
              <w:left w:w="80" w:type="dxa"/>
              <w:right w:w="80" w:type="dxa"/>
            </w:tcMar>
          </w:tcPr>
          <w:p>
            <w:r>
              <w:rPr>
                <w:b/>
                <w:sz w:val="17"/>
              </w:rPr>
              <w:t>GET</w:t>
            </w:r>
          </w:p>
        </w:tc>
        <w:tc>
          <w:tcPr>
            <w:tcW w:type="dxa" w:w="3120"/>
            <w:shd w:fill="F0FDF4"/>
            <w:tcMar>
              <w:top w:w="60" w:type="dxa"/>
              <w:bottom w:w="60" w:type="dxa"/>
              <w:left w:w="80" w:type="dxa"/>
              <w:right w:w="80" w:type="dxa"/>
            </w:tcMar>
          </w:tcPr>
          <w:p>
            <w:r>
              <w:rPr>
                <w:sz w:val="17"/>
              </w:rPr>
              <w:t>/api/v1/files/{file_id}</w:t>
            </w:r>
          </w:p>
        </w:tc>
        <w:tc>
          <w:tcPr>
            <w:tcW w:type="dxa" w:w="3120"/>
            <w:shd w:fill="F0FDF4"/>
            <w:tcMar>
              <w:top w:w="60" w:type="dxa"/>
              <w:bottom w:w="60" w:type="dxa"/>
              <w:left w:w="80" w:type="dxa"/>
              <w:right w:w="80" w:type="dxa"/>
            </w:tcMar>
          </w:tcPr>
          <w:p>
            <w:r>
              <w:rPr>
                <w:sz w:val="17"/>
              </w:rPr>
              <w:t>Retrieve stored file metadata, EXIF parameters, and storage keys.</w:t>
            </w:r>
          </w:p>
        </w:tc>
      </w:tr>
      <w:tr>
        <w:tc>
          <w:tcPr>
            <w:tcW w:type="dxa" w:w="3120"/>
            <w:shd w:fill="FFFFFF"/>
            <w:tcMar>
              <w:top w:w="60" w:type="dxa"/>
              <w:bottom w:w="60" w:type="dxa"/>
              <w:left w:w="80" w:type="dxa"/>
              <w:right w:w="80" w:type="dxa"/>
            </w:tcMar>
          </w:tcPr>
          <w:p>
            <w:r>
              <w:rPr>
                <w:b/>
                <w:sz w:val="17"/>
              </w:rPr>
              <w:t>POST</w:t>
            </w:r>
          </w:p>
        </w:tc>
        <w:tc>
          <w:tcPr>
            <w:tcW w:type="dxa" w:w="3120"/>
            <w:shd w:fill="FFFFFF"/>
            <w:tcMar>
              <w:top w:w="60" w:type="dxa"/>
              <w:bottom w:w="60" w:type="dxa"/>
              <w:left w:w="80" w:type="dxa"/>
              <w:right w:w="80" w:type="dxa"/>
            </w:tcMar>
          </w:tcPr>
          <w:p>
            <w:r>
              <w:rPr>
                <w:sz w:val="17"/>
              </w:rPr>
              <w:t>/api/v1/files/{file_id}/retry</w:t>
            </w:r>
          </w:p>
        </w:tc>
        <w:tc>
          <w:tcPr>
            <w:tcW w:type="dxa" w:w="3120"/>
            <w:shd w:fill="FFFFFF"/>
            <w:tcMar>
              <w:top w:w="60" w:type="dxa"/>
              <w:bottom w:w="60" w:type="dxa"/>
              <w:left w:w="80" w:type="dxa"/>
              <w:right w:w="80" w:type="dxa"/>
            </w:tcMar>
          </w:tcPr>
          <w:p>
            <w:r>
              <w:rPr>
                <w:sz w:val="17"/>
              </w:rPr>
              <w:t>Retry failed file validation or requeue downstream processing job.</w:t>
            </w:r>
          </w:p>
        </w:tc>
      </w:tr>
      <w:tr>
        <w:tc>
          <w:tcPr>
            <w:tcW w:type="dxa" w:w="3120"/>
            <w:shd w:fill="F0FDF4"/>
            <w:tcMar>
              <w:top w:w="60" w:type="dxa"/>
              <w:bottom w:w="60" w:type="dxa"/>
              <w:left w:w="80" w:type="dxa"/>
              <w:right w:w="80" w:type="dxa"/>
            </w:tcMar>
          </w:tcPr>
          <w:p>
            <w:r>
              <w:rPr>
                <w:b/>
                <w:sz w:val="17"/>
              </w:rPr>
              <w:t>GET</w:t>
            </w:r>
          </w:p>
        </w:tc>
        <w:tc>
          <w:tcPr>
            <w:tcW w:type="dxa" w:w="3120"/>
            <w:shd w:fill="F0FDF4"/>
            <w:tcMar>
              <w:top w:w="60" w:type="dxa"/>
              <w:bottom w:w="60" w:type="dxa"/>
              <w:left w:w="80" w:type="dxa"/>
              <w:right w:w="80" w:type="dxa"/>
            </w:tcMar>
          </w:tcPr>
          <w:p>
            <w:r>
              <w:rPr>
                <w:sz w:val="17"/>
              </w:rPr>
              <w:t>/api/v1/surveys/{id}/spatial-footprint</w:t>
            </w:r>
          </w:p>
        </w:tc>
        <w:tc>
          <w:tcPr>
            <w:tcW w:type="dxa" w:w="3120"/>
            <w:shd w:fill="F0FDF4"/>
            <w:tcMar>
              <w:top w:w="60" w:type="dxa"/>
              <w:bottom w:w="60" w:type="dxa"/>
              <w:left w:w="80" w:type="dxa"/>
              <w:right w:w="80" w:type="dxa"/>
            </w:tcMar>
          </w:tcPr>
          <w:p>
            <w:r>
              <w:rPr>
                <w:sz w:val="17"/>
              </w:rPr>
              <w:t>GeoJSON FeatureCollections of photo points, LiDAR bounds, RTK tracks.</w:t>
            </w:r>
          </w:p>
        </w:tc>
      </w:tr>
      <w:tr>
        <w:tc>
          <w:tcPr>
            <w:tcW w:type="dxa" w:w="3120"/>
            <w:shd w:fill="FFFFFF"/>
            <w:tcMar>
              <w:top w:w="60" w:type="dxa"/>
              <w:bottom w:w="60" w:type="dxa"/>
              <w:left w:w="80" w:type="dxa"/>
              <w:right w:w="80" w:type="dxa"/>
            </w:tcMar>
          </w:tcPr>
          <w:p>
            <w:r>
              <w:rPr>
                <w:b/>
                <w:sz w:val="17"/>
              </w:rPr>
              <w:t>GET</w:t>
            </w:r>
          </w:p>
        </w:tc>
        <w:tc>
          <w:tcPr>
            <w:tcW w:type="dxa" w:w="3120"/>
            <w:shd w:fill="FFFFFF"/>
            <w:tcMar>
              <w:top w:w="60" w:type="dxa"/>
              <w:bottom w:w="60" w:type="dxa"/>
              <w:left w:w="80" w:type="dxa"/>
              <w:right w:w="80" w:type="dxa"/>
            </w:tcMar>
          </w:tcPr>
          <w:p>
            <w:r>
              <w:rPr>
                <w:sz w:val="17"/>
              </w:rPr>
              <w:t>/api/v1/processing/jobs</w:t>
            </w:r>
          </w:p>
        </w:tc>
        <w:tc>
          <w:tcPr>
            <w:tcW w:type="dxa" w:w="3120"/>
            <w:shd w:fill="FFFFFF"/>
            <w:tcMar>
              <w:top w:w="60" w:type="dxa"/>
              <w:bottom w:w="60" w:type="dxa"/>
              <w:left w:w="80" w:type="dxa"/>
              <w:right w:w="80" w:type="dxa"/>
            </w:tcMar>
          </w:tcPr>
          <w:p>
            <w:r>
              <w:rPr>
                <w:sz w:val="17"/>
              </w:rPr>
              <w:t>Monitor modular processing job queue.</w:t>
            </w:r>
          </w:p>
        </w:tc>
      </w:tr>
      <w:tr>
        <w:tc>
          <w:tcPr>
            <w:tcW w:type="dxa" w:w="3120"/>
            <w:shd w:fill="F0FDF4"/>
            <w:tcMar>
              <w:top w:w="60" w:type="dxa"/>
              <w:bottom w:w="60" w:type="dxa"/>
              <w:left w:w="80" w:type="dxa"/>
              <w:right w:w="80" w:type="dxa"/>
            </w:tcMar>
          </w:tcPr>
          <w:p>
            <w:r>
              <w:rPr>
                <w:b/>
                <w:sz w:val="17"/>
              </w:rPr>
              <w:t>GET</w:t>
            </w:r>
          </w:p>
        </w:tc>
        <w:tc>
          <w:tcPr>
            <w:tcW w:type="dxa" w:w="3120"/>
            <w:shd w:fill="F0FDF4"/>
            <w:tcMar>
              <w:top w:w="60" w:type="dxa"/>
              <w:bottom w:w="60" w:type="dxa"/>
              <w:left w:w="80" w:type="dxa"/>
              <w:right w:w="80" w:type="dxa"/>
            </w:tcMar>
          </w:tcPr>
          <w:p>
            <w:r>
              <w:rPr>
                <w:sz w:val="17"/>
              </w:rPr>
              <w:t>/api/v1/surveys</w:t>
            </w:r>
          </w:p>
        </w:tc>
        <w:tc>
          <w:tcPr>
            <w:tcW w:type="dxa" w:w="3120"/>
            <w:shd w:fill="F0FDF4"/>
            <w:tcMar>
              <w:top w:w="60" w:type="dxa"/>
              <w:bottom w:w="60" w:type="dxa"/>
              <w:left w:w="80" w:type="dxa"/>
              <w:right w:w="80" w:type="dxa"/>
            </w:tcMar>
          </w:tcPr>
          <w:p>
            <w:r>
              <w:rPr>
                <w:sz w:val="17"/>
              </w:rPr>
              <w:t>List all agricultural survey missions with pagination and summary stats.</w:t>
            </w:r>
          </w:p>
        </w:tc>
      </w:tr>
      <w:tr>
        <w:tc>
          <w:tcPr>
            <w:tcW w:type="dxa" w:w="3120"/>
            <w:shd w:fill="FFFFFF"/>
            <w:tcMar>
              <w:top w:w="60" w:type="dxa"/>
              <w:bottom w:w="60" w:type="dxa"/>
              <w:left w:w="80" w:type="dxa"/>
              <w:right w:w="80" w:type="dxa"/>
            </w:tcMar>
          </w:tcPr>
          <w:p>
            <w:r>
              <w:rPr>
                <w:b/>
                <w:sz w:val="17"/>
              </w:rPr>
              <w:t>GET</w:t>
            </w:r>
          </w:p>
        </w:tc>
        <w:tc>
          <w:tcPr>
            <w:tcW w:type="dxa" w:w="3120"/>
            <w:shd w:fill="FFFFFF"/>
            <w:tcMar>
              <w:top w:w="60" w:type="dxa"/>
              <w:bottom w:w="60" w:type="dxa"/>
              <w:left w:w="80" w:type="dxa"/>
              <w:right w:w="80" w:type="dxa"/>
            </w:tcMar>
          </w:tcPr>
          <w:p>
            <w:r>
              <w:rPr>
                <w:sz w:val="17"/>
              </w:rPr>
              <w:t>/api/v1/surveys/{id}/parcels</w:t>
            </w:r>
          </w:p>
        </w:tc>
        <w:tc>
          <w:tcPr>
            <w:tcW w:type="dxa" w:w="3120"/>
            <w:shd w:fill="FFFFFF"/>
            <w:tcMar>
              <w:top w:w="60" w:type="dxa"/>
              <w:bottom w:w="60" w:type="dxa"/>
              <w:left w:w="80" w:type="dxa"/>
              <w:right w:w="80" w:type="dxa"/>
            </w:tcMar>
          </w:tcPr>
          <w:p>
            <w:r>
              <w:rPr>
                <w:sz w:val="17"/>
              </w:rPr>
              <w:t>Retrieve all parcel boundaries with calculated geodesic area &amp; perimeter.</w:t>
            </w:r>
          </w:p>
        </w:tc>
      </w:tr>
    </w:tbl>
    <w:p/>
    <w:p>
      <w:pPr>
        <w:pStyle w:val="Heading1"/>
        <w:spacing w:before="320" w:after="120"/>
      </w:pPr>
      <w:r>
        <w:t>6. Verification &amp; Automated Test Results</w:t>
      </w:r>
    </w:p>
    <w:p>
      <w:r>
        <w:t>• Pytest Test Suite: 27/27 unit and integration tests passed in 0.95 seconds.</w:t>
        <w:br/>
        <w:t>• Frontend Production Build: Vite &amp; TypeScript build completed in 1.45s with 0 compilation errors.</w:t>
        <w:br/>
        <w:t>• Browser End-to-End Testing: Verified Drone Ingestion Station, Demo Simulation Mode batch injection, and GIS Map spatial footprint layers.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BhoomiSync Technical Workflow Document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BhoomiSync | Cadastral Survey &amp; Resurvey Platform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