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0A140004" w14:textId="77777777">
        <w:trPr>
          <w:trHeight w:val="299"/>
        </w:trPr>
        <w:tc>
          <w:tcPr>
            <w:tcW w:w="1876" w:type="dxa"/>
            <w:gridSpan w:val="2"/>
            <w:tcBorders>
              <w:top w:val="nil"/>
              <w:left w:val="nil"/>
              <w:bottom w:val="nil"/>
              <w:right w:val="nil"/>
            </w:tcBorders>
          </w:tcPr>
          <w:p w14:paraId="0A140001" w14:textId="77777777" w:rsidR="00CF1EF7" w:rsidRDefault="00000000">
            <w:pPr>
              <w:spacing w:after="0"/>
            </w:pPr>
            <w:r>
              <w:rPr>
                <w:sz w:val="18"/>
              </w:rPr>
              <w:t xml:space="preserve">1.3</w:t>
            </w:r>
            <w:r>
              <w:rPr>
                <w:sz w:val="18"/>
              </w:rPr>
              <w:tab/>
              <w:t>2026-08-23</w:t>
            </w:r>
          </w:p>
        </w:tc>
        <w:tc>
          <w:tcPr>
            <w:tcW w:w="2330" w:type="dxa"/>
            <w:gridSpan w:val="2"/>
            <w:tcBorders>
              <w:top w:val="nil"/>
              <w:left w:val="nil"/>
              <w:bottom w:val="nil"/>
              <w:right w:val="nil"/>
            </w:tcBorders>
          </w:tcPr>
          <w:p w14:paraId="0A14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40003" w14:textId="77777777" w:rsidR="00CF1EF7" w:rsidRDefault="00000000">
            <w:pPr>
              <w:spacing w:after="0"/>
            </w:pPr>
            <w:r>
              <w:rPr>
                <w:sz w:val="18"/>
              </w:rPr>
              <w:t xml:space="preserve">Map tile provider added to the decisions register as D9. Tiles are separately licensed from routing (D2) and are named nowhere in §34.6; the tourist web client renders them with MapLibre GL JS against a tile URL and attribution string held as system_setting rows, so the provider is a configuration change rather than a deployment. Amends Appendix D. Rationale and consequences in docs/adr/0016-map-tiles-are-a-configured-url-behind-maplibre.md.</w:t>
            </w:r>
          </w:p>
        </w:tc>
      </w:tr>
      <w:tr w:rsidR="00CF1EF7" w14:paraId="0A140004" w14:textId="77777777">
        <w:trPr>
          <w:trHeight w:val="299"/>
        </w:trPr>
        <w:tc>
          <w:tcPr>
            <w:tcW w:w="1876" w:type="dxa"/>
            <w:gridSpan w:val="2"/>
            <w:tcBorders>
              <w:top w:val="nil"/>
              <w:left w:val="nil"/>
              <w:bottom w:val="nil"/>
              <w:right w:val="nil"/>
            </w:tcBorders>
          </w:tcPr>
          <w:p w14:paraId="0A140001" w14:textId="77777777" w:rsidR="00CF1EF7" w:rsidRDefault="00000000">
            <w:pPr>
              <w:spacing w:after="0"/>
            </w:pPr>
            <w:r>
              <w:rPr>
                <w:sz w:val="18"/>
              </w:rPr>
              <w:t xml:space="preserve">1.4</w:t>
            </w:r>
            <w:r>
              <w:rPr>
                <w:sz w:val="18"/>
              </w:rPr>
              <w:tab/>
              <w:t>2026-08-23</w:t>
            </w:r>
          </w:p>
        </w:tc>
        <w:tc>
          <w:tcPr>
            <w:tcW w:w="2330" w:type="dxa"/>
            <w:gridSpan w:val="2"/>
            <w:tcBorders>
              <w:top w:val="nil"/>
              <w:left w:val="nil"/>
              <w:bottom w:val="nil"/>
              <w:right w:val="nil"/>
            </w:tcBorders>
          </w:tcPr>
          <w:p w14:paraId="0A14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40003" w14:textId="77777777" w:rsidR="00CF1EF7" w:rsidRDefault="00000000">
            <w:pPr>
              <w:spacing w:after="0"/>
            </w:pPr>
            <w:r>
              <w:rPr>
                <w:sz w:val="18"/>
              </w:rPr>
              <w:t xml:space="preserve">§16.5's rating term gated by BR-127's display threshold: a subject with fewer than review.min_display_count published reviews ranks as unrated rather than on a mean that may not be displayed, so ranking and display are the same rule. Amends §16.5. Rationale, and why a confidence-weighted mean was not used, in docs/adr/0017-ranking-uses-the-displayable-rating.md.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0A13002C" w14:textId="77777777" w:rsidR="00CF1EF7" w:rsidRDefault="00000000">
            <w:pPr>
              <w:spacing w:after="0"/>
            </w:pPr>
            <w:r>
              <w:rPr>
                <w:sz w:val="18"/>
              </w:rPr>
              <w:t xml:space="preserve">One row per room-type per date. </w:t>
            </w:r>
            <w:r>
              <w:rPr>
                <w:b/>
                <w:sz w:val="18"/>
              </w:rPr>
              <w:t xml:space="preserve">Deferred to v2 (ADR 0013).</w:t>
            </w:r>
          </w:p>
          <w:p w14:paraId="0A13002D" w14:textId="77777777" w:rsidR="00CF1EF7" w:rsidRDefault="00000000">
            <w:pPr>
              <w:spacing w:after="0"/>
            </w:pPr>
            <w:r>
              <w:rPr>
                <w:sz w:val="18"/>
              </w:rPr>
              <w:t xml:space="preserve">R12 (accommodation 1 : 1..* room_type) and R24's </w:t>
            </w:r>
          </w:p>
          <w:p w14:paraId="0A13002E" w14:textId="77777777" w:rsidR="00CF1EF7" w:rsidRDefault="00000000">
            <w:pPr>
              <w:spacing w:after="0"/>
            </w:pPr>
            <w:r>
              <w:rPr>
                <w:sz w:val="18"/>
              </w:rPr>
              <w:t xml:space="preserve">booking_accommodation subtype are deferred with it.</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 xml:space="preserve">accommodation</w:t>
      </w:r>
      <w:r>
        <w:rPr>
          <w:sz w:val="20"/>
        </w:rPr>
        <w:t xml:space="preserve"> fields of note, as amended in v1.2 — ADR 0013: </w:t>
      </w:r>
      <w:r>
        <w:rPr>
          <w:sz w:val="20"/>
        </w:rPr>
        <w:t xml:space="preserve">provider_id, destination_id, property_type (HOTEL/RESORT/LODGE/GUESTHOUSE/APARTMENT), coordinates, address_line, check_in_time TIME, check_out_time TIME, is_active, deleted_at.</w:t>
      </w:r>
    </w:p>
    <w:p w14:paraId="32F8880F" w14:textId="77777777" w:rsidR="00CF1EF7" w:rsidRDefault="00000000">
      <w:pPr>
        <w:spacing w:after="0"/>
        <w:ind w:left="-5" w:right="302" w:hanging="10"/>
      </w:pPr>
      <w:r>
        <w:rPr>
          <w:b/>
          <w:sz w:val="20"/>
        </w:rPr>
        <w:t xml:space="preserve">Deferred to v2 — ADR 0013. </w:t>
      </w:r>
      <w:r>
        <w:rPr>
          <w:sz w:val="20"/>
        </w:rPr>
        <w:t xml:space="preserve">provider_id, star_rating, amenities, cancellation_policy_id and child_policy leave the v1 table with the subsystem: accommodation is a curated location record, not provider-listed supply, and a property that cannot be booked has nothing to cancel. The room_type specification below is preserved verbatim and is not implemented in v1; the table does not exist in the v1 schema. room_type:</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0A13002F" w14:textId="77777777" w:rsidR="00CF1EF7" w:rsidRDefault="00000000">
      <w:pPr>
        <w:spacing w:after="120" w:line="260" w:lineRule="auto"/>
        <w:ind w:left="-5" w:hanging="10"/>
      </w:pPr>
      <w:r>
        <w:rPr>
          <w:b/>
          <w:sz w:val="20"/>
        </w:rPr>
        <w:t xml:space="preserve">§7.5.8 is deferred to v2 — ADR 0013.</w:t>
      </w:r>
      <w:r>
        <w:rPr>
          <w:sz w:val="20"/>
        </w:rPr>
        <w:t xml:space="preserve"> room_availability does not exist in the v1 schema; the specification above is preserved for the day it returns. §7.5.9 below is unaffected: activity_departure is v1, and in v1 it is the only capacity counter.</w:t>
      </w:r>
    </w:p>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r>
              <w:rPr>
                <w:b/>
                <w:sz w:val="18"/>
              </w:rPr>
              <w:t xml:space="preserve">. Deferred to v2 (ADR 0013). See the note below.</w:t>
            </w:r>
          </w:p>
        </w:tc>
      </w:tr>
      <w:tr w:rsidR="00CF1EF7" w14:paraId="0A130034" w14:textId="77777777">
        <w:trPr>
          <w:trHeight w:val="299"/>
        </w:trPr>
        <w:tc>
          <w:tcPr>
            <w:tcW w:w="9364" w:type="dxa"/>
            <w:gridSpan w:val="7"/>
            <w:tcBorders>
              <w:top w:val="nil"/>
              <w:left w:val="nil"/>
              <w:bottom w:val="nil"/>
              <w:right w:val="nil"/>
            </w:tcBorders>
          </w:tcPr>
          <w:p w14:paraId="0A130033" w14:textId="77777777" w:rsidR="00CF1EF7" w:rsidRDefault="00000000">
            <w:pPr>
              <w:spacing w:after="0"/>
            </w:pPr>
            <w:r>
              <w:rPr>
                <w:b/>
                <w:sz w:val="18"/>
              </w:rPr>
              <w:t xml:space="preserve">Amended v1.2 — ADR 0013. </w:t>
            </w:r>
            <w:r>
              <w:rPr>
                <w:sz w:val="18"/>
              </w:rPr>
              <w:t xml:space="preserve">A STAY itinerary_item is a stay anchor. It carries accommodation_id where the tourist named a curated property, or a free-entry name and coordinate confirmed through the §13.2 geocoding path where they did not, together with starts_at and ends_at. It carries no room_type_id, no quantity, no unit_price, no line_total, no currency and no booking_id: there is no room, no price and no booking behind it. Those columns stay on the table because ACTIVITY, TRANSFER and ATTRACTION items use them.</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0A130030" w14:textId="77777777" w:rsidR="00CF1EF7" w:rsidRDefault="00000000">
            <w:pPr>
              <w:spacing w:after="0"/>
            </w:pPr>
            <w:r>
              <w:rPr>
                <w:sz w:val="18"/>
              </w:rPr>
              <w:t xml:space="preserve">Availability scan; nightly sweeps. </w:t>
            </w:r>
            <w:r>
              <w:rPr>
                <w:b/>
                <w:sz w:val="18"/>
              </w:rPr>
              <w:t xml:space="preserve">Deferred to v2 (ADR 0013).</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A130031" w14:textId="77777777" w:rsidR="00CF1EF7" w:rsidRDefault="00000000">
            <w:pPr>
              <w:spacing w:after="0"/>
            </w:pPr>
            <w:r>
              <w:rPr>
                <w:sz w:val="18"/>
              </w:rPr>
              <w:t xml:space="preserve">Serialises the capacity check-and-decrement; PK ordering prevents deadlock. Amended v1.2 — ADR 0013: activity_departure rows only in v1; room_availability returns with the accommodation subsystem.</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0A130032" w14:textId="77777777" w:rsidR="00CF1EF7" w:rsidRDefault="00000000">
            <w:pPr>
              <w:spacing w:after="0"/>
            </w:pPr>
            <w:r>
              <w:rPr>
                <w:sz w:val="18"/>
              </w:rPr>
              <w:t xml:space="preserve">Availability search result (activity departures in v1). </w:t>
            </w:r>
            <w:r>
              <w:rPr>
                <w:b/>
                <w:sz w:val="18"/>
              </w:rPr>
              <w:t xml:space="preserve">The room form is deferred to v2 (ADR 0013).</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"This departure is no longer available."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"items[1].departure_id"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r>
        <w:rPr>
          <w:b/>
          <w:sz w:val="20"/>
        </w:rPr>
        <w:t xml:space="preserve"> Deferred to v2 (ADR 0013). </w:t>
      </w:r>
      <w:r>
        <w:rPr>
          <w:sz w:val="20"/>
        </w:rPr>
        <w:t xml:space="preserve">GET /accommodations/{id}/room-types is not a v1 endpoint. GET /accommodations returns curated location records for a destination — name, property type, coordinates, address, check-in and check-out times — with no price and no availability, because a location record asserts neither.</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b/>
          <w:sz w:val="20"/>
        </w:rPr>
        <w:t xml:space="preserve">Amended v1.2 — ADR 0013. </w:t>
      </w:r>
      <w:r>
        <w:rPr>
          <w:sz w:val="20"/>
        </w:rPr>
        <w:t xml:space="preserve">A STAY item is an anchor: it locks nothing, holds nothing and prices nothing, so the quote skips it entirely. The step this replaces — locking room_availability rows for every night, asserting capacity, incrementing rooms_held and creating an inventory_hold — returns with the subsystem in v2. The activity step below is unchanged.</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0A140005" w14:textId="77777777" w:rsidR="00CF1EF7" w:rsidRDefault="00000000">
      <w:pPr>
        <w:spacing w:after="120" w:line="260" w:lineRule="auto"/>
        <w:ind w:left="-5" w:hanging="10"/>
      </w:pPr>
      <w:r>
        <w:rPr>
          <w:b/>
          <w:sz w:val="20"/>
        </w:rPr>
        <w:t xml:space="preserve">Amended v1.4 — ADR 0017.</w:t>
      </w:r>
      <w:r>
        <w:rPr>
          <w:sz w:val="20"/>
        </w:rPr>
        <w:t xml:space="preserve"> The rating term is the displayable rating, not the raw mean: it reads CASE WHEN rating_count &gt;= :min_display_count THEN rating_avg ELSE NULL END DESC NULLS LAST. BR-127 already forbids displaying a mean for a subject with fewer than three published reviews; ranking on the figure while hiding it let a single five-star review take first place on a listing that reads “New”. Ranking and display are now the same rule, and the threshold is the same review.min_display_count system_setting. The published explanation of placement becomes “rating, once a subject has enough published reviews to have one”. A confidence-weighted mean was considered and rejected: it depends on a global average that drifts as reviews arrive, which the §9.1 keyset cursor cannot encode without silently skipping rows between pages.</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r>
        <w:rPr>
          <w:b/>
          <w:sz w:val="18"/>
        </w:rPr>
        <w:t xml:space="preserve">  Deferred to v2 (ADR 0013).</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40009" w14:textId="77777777">
        <w:trPr>
          <w:trHeight w:val="299"/>
        </w:trPr>
        <w:tc>
          <w:tcPr>
            <w:tcW w:w="600" w:type="dxa"/>
            <w:tcBorders>
              <w:top w:val="nil"/>
              <w:left w:val="nil"/>
              <w:bottom w:val="nil"/>
              <w:right w:val="nil"/>
            </w:tcBorders>
          </w:tcPr>
          <w:p w14:paraId="0A140005" w14:textId="77777777" w:rsidR="00CF1EF7" w:rsidRDefault="00000000">
            <w:pPr>
              <w:spacing w:after="0"/>
            </w:pPr>
            <w:r>
              <w:rPr>
                <w:sz w:val="18"/>
              </w:rPr>
              <w:t xml:space="preserve">D 9</w:t>
            </w:r>
          </w:p>
        </w:tc>
        <w:tc>
          <w:tcPr>
            <w:tcW w:w="5000" w:type="dxa"/>
            <w:tcBorders>
              <w:top w:val="nil"/>
              <w:left w:val="nil"/>
              <w:bottom w:val="nil"/>
              <w:right w:val="nil"/>
            </w:tcBorders>
          </w:tcPr>
          <w:p w14:paraId="0A140006" w14:textId="77777777" w:rsidR="00CF1EF7" w:rsidRDefault="00000000">
            <w:pPr>
              <w:spacing w:after="0"/>
            </w:pPr>
            <w:r>
              <w:rPr>
                <w:sz w:val="18"/>
              </w:rPr>
              <w:t xml:space="preserve">Map tile provider — which vendor serves the base map for the four tourist-web screens that show one, and on what commercial terms. Separate from D2: routing and tiles are separately licensed and separately priced even where one vendor sells both. The client uses MapLibre GL JS (BSD) against a tile URL template and attribution string held in system_setting, so no code depends on the choice. The development default is OpenStreetMap, whose tile usage policy does not permit commercial production traffic.</w:t>
            </w:r>
          </w:p>
        </w:tc>
        <w:tc>
          <w:tcPr>
            <w:tcW w:w="2000" w:type="dxa"/>
            <w:tcBorders>
              <w:top w:val="nil"/>
              <w:left w:val="nil"/>
              <w:bottom w:val="nil"/>
              <w:right w:val="nil"/>
            </w:tcBorders>
          </w:tcPr>
          <w:p w14:paraId="0A140007" w14:textId="77777777" w:rsidR="00CF1EF7" w:rsidRDefault="00000000">
            <w:pPr>
              <w:spacing w:after="0"/>
            </w:pPr>
            <w:r>
              <w:rPr>
                <w:sz w:val="18"/>
              </w:rPr>
              <w:t xml:space="preserve">Commercial / Architecture</w:t>
            </w:r>
          </w:p>
        </w:tc>
        <w:tc>
          <w:tcPr>
            <w:tcW w:w="2050" w:type="dxa"/>
            <w:tcBorders>
              <w:top w:val="nil"/>
              <w:left w:val="nil"/>
              <w:bottom w:val="nil"/>
              <w:right w:val="nil"/>
            </w:tcBorders>
          </w:tcPr>
          <w:p w14:paraId="0A140008" w14:textId="77777777" w:rsidR="00CF1EF7" w:rsidRDefault="00000000">
            <w:pPr>
              <w:spacing w:after="0"/>
            </w:pPr>
            <w:r>
              <w:rPr>
                <w:sz w:val="18"/>
              </w:rPr>
              <w:t xml:space="preserve">Blocks production launch; does not block Phase 3 — ADR 0016.</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