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0A140004" w14:textId="77777777">
        <w:trPr>
          <w:trHeight w:val="299"/>
        </w:trPr>
        <w:tc>
          <w:tcPr>
            <w:tcW w:w="1876" w:type="dxa"/>
            <w:gridSpan w:val="2"/>
            <w:tcBorders>
              <w:top w:val="nil"/>
              <w:left w:val="nil"/>
              <w:bottom w:val="nil"/>
              <w:right w:val="nil"/>
            </w:tcBorders>
          </w:tcPr>
          <w:p w14:paraId="0A140001" w14:textId="77777777" w:rsidR="00CF1EF7" w:rsidRDefault="00000000">
            <w:pPr>
              <w:spacing w:after="0"/>
            </w:pPr>
            <w:r>
              <w:rPr>
                <w:sz w:val="18"/>
              </w:rPr>
              <w:t xml:space="preserve">1.3</w:t>
            </w:r>
            <w:r>
              <w:rPr>
                <w:sz w:val="18"/>
              </w:rPr>
              <w:tab/>
              <w:t>2026-08-23</w:t>
            </w:r>
          </w:p>
        </w:tc>
        <w:tc>
          <w:tcPr>
            <w:tcW w:w="2330" w:type="dxa"/>
            <w:gridSpan w:val="2"/>
            <w:tcBorders>
              <w:top w:val="nil"/>
              <w:left w:val="nil"/>
              <w:bottom w:val="nil"/>
              <w:right w:val="nil"/>
            </w:tcBorders>
          </w:tcPr>
          <w:p w14:paraId="0A14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40003" w14:textId="77777777" w:rsidR="00CF1EF7" w:rsidRDefault="00000000">
            <w:pPr>
              <w:spacing w:after="0"/>
            </w:pPr>
            <w:r>
              <w:rPr>
                <w:sz w:val="18"/>
              </w:rPr>
              <w:t xml:space="preserve">Map tile provider added to the decisions register as D9. Tiles are separately licensed from routing (D2) and are named nowhere in §34.6; the tourist web client renders them with MapLibre GL JS against a tile URL and attribution string held as system_setting rows, so the provider is a configuration change rather than a deployment. Amends Appendix D. Rationale and consequences in docs/adr/0016-map-tiles-are-a-configured-url-behind-maplibre.md.</w:t>
            </w:r>
          </w:p>
        </w:tc>
      </w:tr>
      <w:tr w:rsidR="00CF1EF7" w14:paraId="0A140004" w14:textId="77777777">
        <w:trPr>
          <w:trHeight w:val="299"/>
        </w:trPr>
        <w:tc>
          <w:tcPr>
            <w:tcW w:w="1876" w:type="dxa"/>
            <w:gridSpan w:val="2"/>
            <w:tcBorders>
              <w:top w:val="nil"/>
              <w:left w:val="nil"/>
              <w:bottom w:val="nil"/>
              <w:right w:val="nil"/>
            </w:tcBorders>
          </w:tcPr>
          <w:p w14:paraId="0A140001" w14:textId="77777777" w:rsidR="00CF1EF7" w:rsidRDefault="00000000">
            <w:pPr>
              <w:spacing w:after="0"/>
            </w:pPr>
            <w:r>
              <w:rPr>
                <w:sz w:val="18"/>
              </w:rPr>
              <w:t xml:space="preserve">1.4</w:t>
            </w:r>
            <w:r>
              <w:rPr>
                <w:sz w:val="18"/>
              </w:rPr>
              <w:tab/>
              <w:t>2026-08-23</w:t>
            </w:r>
          </w:p>
        </w:tc>
        <w:tc>
          <w:tcPr>
            <w:tcW w:w="2330" w:type="dxa"/>
            <w:gridSpan w:val="2"/>
            <w:tcBorders>
              <w:top w:val="nil"/>
              <w:left w:val="nil"/>
              <w:bottom w:val="nil"/>
              <w:right w:val="nil"/>
            </w:tcBorders>
          </w:tcPr>
          <w:p w14:paraId="0A14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40003" w14:textId="77777777" w:rsidR="00CF1EF7" w:rsidRDefault="00000000">
            <w:pPr>
              <w:spacing w:after="0"/>
            </w:pPr>
            <w:r>
              <w:rPr>
                <w:sz w:val="18"/>
              </w:rPr>
              <w:t xml:space="preserve">§16.5's rating term gated by BR-127's display threshold: a subject with fewer than review.min_display_count published reviews ranks as unrated rather than on a mean that may not be displayed, so ranking and display are the same rule. Amends §16.5. Rationale, and why a confidence-weighted mean was not used, in docs/adr/0017-ranking-uses-the-displayable-rating.md.</w:t>
            </w:r>
          </w:p>
        </w:tc>
      </w:tr>
      <w:tr w:rsidR="00CF1EF7" w14:paraId="0A150004" w14:textId="77777777">
        <w:trPr>
          <w:trHeight w:val="299"/>
        </w:trPr>
        <w:tc>
          <w:tcPr>
            <w:tcW w:w="1876" w:type="dxa"/>
            <w:gridSpan w:val="2"/>
            <w:tcBorders>
              <w:top w:val="nil"/>
              <w:left w:val="nil"/>
              <w:bottom w:val="nil"/>
              <w:right w:val="nil"/>
            </w:tcBorders>
          </w:tcPr>
          <w:p w14:paraId="0A150001" w14:textId="77777777" w:rsidR="00CF1EF7" w:rsidRDefault="00000000">
            <w:pPr>
              <w:spacing w:after="0"/>
            </w:pPr>
            <w:r>
              <w:rPr>
                <w:sz w:val="18"/>
              </w:rPr>
              <w:t xml:space="preserve">1.5</w:t>
            </w:r>
            <w:r>
              <w:rPr>
                <w:sz w:val="18"/>
              </w:rPr>
              <w:tab/>
              <w:t>2026-08-29</w:t>
            </w:r>
          </w:p>
        </w:tc>
        <w:tc>
          <w:tcPr>
            <w:tcW w:w="2330" w:type="dxa"/>
            <w:gridSpan w:val="2"/>
            <w:tcBorders>
              <w:top w:val="nil"/>
              <w:left w:val="nil"/>
              <w:bottom w:val="nil"/>
              <w:right w:val="nil"/>
            </w:tcBorders>
          </w:tcPr>
          <w:p w14:paraId="0A15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50003" w14:textId="77777777" w:rsidR="00CF1EF7" w:rsidRDefault="00000000">
            <w:pPr>
              <w:spacing w:after="0"/>
            </w:pPr>
            <w:r>
              <w:rPr>
                <w:sz w:val="18"/>
              </w:rPr>
              <w:t xml:space="preserve">Geographic model extended to six levels: a market tier between country and region, because the five-level model has no tier at which Zanzibar and Arusha are peers - the Region examples in 4.2 list two parts of Zanzibar alongside the whole of Arusha. A market is listed in the destination selector on is_active alone and opens its catalogue on launch_date, so an announced market is visible while everything beneath it stays hidden. Amends 4.2 and 41.12. Rationale, and why country and region were both rejected, in docs/adr/0018-market-is-a-tier-between-country-and-region.md.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0A150005" w14:textId="77777777" w:rsidR="00CF1EF7" w:rsidRDefault="00000000">
      <w:pPr>
        <w:spacing w:after="120" w:line="260" w:lineRule="auto"/>
        <w:ind w:left="-5" w:hanging="10"/>
      </w:pPr>
      <w:r>
        <w:rPr>
          <w:b/>
          <w:sz w:val="20"/>
        </w:rPr>
        <w:t xml:space="preserve">Amended v1.5 - ADR 0018.</w:t>
      </w:r>
      <w:r>
        <w:rPr>
          <w:sz w:val="20"/>
        </w:rPr>
        <w:t xml:space="preserve"> The hierarchy is six levels, not five: Country &gt; Market &gt; Region &gt; Destination &gt; Attraction / Accommodation &gt; Activity. The Region examples above show why. “Zanzibar Urban/West” and “Zanzibar North” are parts of Zanzibar; “Arusha” is a whole. In the seeded catalogue Zanzibar is not a row at all - it is three regions, with Pemba contributing two more - so there is no level at which the two places a tourist chooses between are the same kind of thing. Country cannot serve, because both are TZ; region cannot, because 12.4 step 3 prices the metered transfer fallback per region and collapsing Zanzibar's three into one would erase that. A market carries name, slug, summary, is_active, launch_date, soft deletion and its own media gallery, and it is read through two distinct predicates. is_listed - active and not deleted, ignoring launch_date - governs appearance in the destination selector. is_open - active, not deleted, and launch_date reached - governs whether its catalogue is browsable. A market may therefore be announced on the landing page while every region, destination, attraction and activity beneath it remains absent from every public endpoint and from the sitemap, and returns 404 on direct URL. is_open is the 4.1 visibility rule applied to one more ancestor, not a second rule. launch_date consequently exists at two levels: on destination as specified above, and on market, which is the level “scheduled market launch” was always naming. The 12.4 tariff resolution ladder is unchanged; whether a market-level fallback belongs between its region and country steps is a pricing question for 12.4, recorded here and left open.</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0A13002C" w14:textId="77777777" w:rsidR="00CF1EF7" w:rsidRDefault="00000000">
            <w:pPr>
              <w:spacing w:after="0"/>
            </w:pPr>
            <w:r>
              <w:rPr>
                <w:sz w:val="18"/>
              </w:rPr>
              <w:t xml:space="preserve">One row per room-type per date. </w:t>
            </w:r>
            <w:r>
              <w:rPr>
                <w:b/>
                <w:sz w:val="18"/>
              </w:rPr>
              <w:t xml:space="preserve">Deferred to v2 (ADR 0013).</w:t>
            </w:r>
          </w:p>
          <w:p w14:paraId="0A13002D" w14:textId="77777777" w:rsidR="00CF1EF7" w:rsidRDefault="00000000">
            <w:pPr>
              <w:spacing w:after="0"/>
            </w:pPr>
            <w:r>
              <w:rPr>
                <w:sz w:val="18"/>
              </w:rPr>
              <w:t xml:space="preserve">R12 (accommodation 1 : 1..* room_type) and R24's </w:t>
            </w:r>
          </w:p>
          <w:p w14:paraId="0A13002E" w14:textId="77777777" w:rsidR="00CF1EF7" w:rsidRDefault="00000000">
            <w:pPr>
              <w:spacing w:after="0"/>
            </w:pPr>
            <w:r>
              <w:rPr>
                <w:sz w:val="18"/>
              </w:rPr>
              <w:t xml:space="preserve">booking_accommodation subtype are deferred with it.</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 xml:space="preserve">accommodation</w:t>
      </w:r>
      <w:r>
        <w:rPr>
          <w:sz w:val="20"/>
        </w:rPr>
        <w:t xml:space="preserve"> fields of note, as amended in v1.2 — ADR 0013: </w:t>
      </w:r>
      <w:r>
        <w:rPr>
          <w:sz w:val="20"/>
        </w:rPr>
        <w:t xml:space="preserve">provider_id, destination_id, property_type (HOTEL/RESORT/LODGE/GUESTHOUSE/APARTMENT), coordinates, address_line, check_in_time TIME, check_out_time TIME, is_active, deleted_at.</w:t>
      </w:r>
    </w:p>
    <w:p w14:paraId="32F8880F" w14:textId="77777777" w:rsidR="00CF1EF7" w:rsidRDefault="00000000">
      <w:pPr>
        <w:spacing w:after="0"/>
        <w:ind w:left="-5" w:right="302" w:hanging="10"/>
      </w:pPr>
      <w:r>
        <w:rPr>
          <w:b/>
          <w:sz w:val="20"/>
        </w:rPr>
        <w:t xml:space="preserve">Deferred to v2 — ADR 0013. </w:t>
      </w:r>
      <w:r>
        <w:rPr>
          <w:sz w:val="20"/>
        </w:rPr>
        <w:t xml:space="preserve">provider_id, star_rating, amenities, cancellation_policy_id and child_policy leave the v1 table with the subsystem: accommodation is a curated location record, not provider-listed supply, and a property that cannot be booked has nothing to cancel. The room_type specification below is preserved verbatim and is not implemented in v1; the table does not exist in the v1 schema. room_type:</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0A13002F" w14:textId="77777777" w:rsidR="00CF1EF7" w:rsidRDefault="00000000">
      <w:pPr>
        <w:spacing w:after="120" w:line="260" w:lineRule="auto"/>
        <w:ind w:left="-5" w:hanging="10"/>
      </w:pPr>
      <w:r>
        <w:rPr>
          <w:b/>
          <w:sz w:val="20"/>
        </w:rPr>
        <w:t xml:space="preserve">§7.5.8 is deferred to v2 — ADR 0013.</w:t>
      </w:r>
      <w:r>
        <w:rPr>
          <w:sz w:val="20"/>
        </w:rPr>
        <w:t xml:space="preserve"> room_availability does not exist in the v1 schema; the specification above is preserved for the day it returns. §7.5.9 below is unaffected: activity_departure is v1, and in v1 it is the only capacity counter.</w:t>
      </w:r>
    </w:p>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r>
              <w:rPr>
                <w:b/>
                <w:sz w:val="18"/>
              </w:rPr>
              <w:t xml:space="preserve">. Deferred to v2 (ADR 0013). See the note below.</w:t>
            </w:r>
          </w:p>
        </w:tc>
      </w:tr>
      <w:tr w:rsidR="00CF1EF7" w14:paraId="0A130034" w14:textId="77777777">
        <w:trPr>
          <w:trHeight w:val="299"/>
        </w:trPr>
        <w:tc>
          <w:tcPr>
            <w:tcW w:w="9364" w:type="dxa"/>
            <w:gridSpan w:val="7"/>
            <w:tcBorders>
              <w:top w:val="nil"/>
              <w:left w:val="nil"/>
              <w:bottom w:val="nil"/>
              <w:right w:val="nil"/>
            </w:tcBorders>
          </w:tcPr>
          <w:p w14:paraId="0A130033" w14:textId="77777777" w:rsidR="00CF1EF7" w:rsidRDefault="00000000">
            <w:pPr>
              <w:spacing w:after="0"/>
            </w:pPr>
            <w:r>
              <w:rPr>
                <w:b/>
                <w:sz w:val="18"/>
              </w:rPr>
              <w:t xml:space="preserve">Amended v1.2 — ADR 0013. </w:t>
            </w:r>
            <w:r>
              <w:rPr>
                <w:sz w:val="18"/>
              </w:rPr>
              <w:t xml:space="preserve">A STAY itinerary_item is a stay anchor. It carries accommodation_id where the tourist named a curated property, or a free-entry name and coordinate confirmed through the §13.2 geocoding path where they did not, together with starts_at and ends_at. It carries no room_type_id, no quantity, no unit_price, no line_total, no currency and no booking_id: there is no room, no price and no booking behind it. Those columns stay on the table because ACTIVITY, TRANSFER and ATTRACTION items use them.</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0A130030" w14:textId="77777777" w:rsidR="00CF1EF7" w:rsidRDefault="00000000">
            <w:pPr>
              <w:spacing w:after="0"/>
            </w:pPr>
            <w:r>
              <w:rPr>
                <w:sz w:val="18"/>
              </w:rPr>
              <w:t xml:space="preserve">Availability scan; nightly sweeps. </w:t>
            </w:r>
            <w:r>
              <w:rPr>
                <w:b/>
                <w:sz w:val="18"/>
              </w:rPr>
              <w:t xml:space="preserve">Deferred to v2 (ADR 0013).</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A130031" w14:textId="77777777" w:rsidR="00CF1EF7" w:rsidRDefault="00000000">
            <w:pPr>
              <w:spacing w:after="0"/>
            </w:pPr>
            <w:r>
              <w:rPr>
                <w:sz w:val="18"/>
              </w:rPr>
              <w:t xml:space="preserve">Serialises the capacity check-and-decrement; PK ordering prevents deadlock. Amended v1.2 — ADR 0013: activity_departure rows only in v1; room_availability returns with the accommodation subsystem.</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0A130032" w14:textId="77777777" w:rsidR="00CF1EF7" w:rsidRDefault="00000000">
            <w:pPr>
              <w:spacing w:after="0"/>
            </w:pPr>
            <w:r>
              <w:rPr>
                <w:sz w:val="18"/>
              </w:rPr>
              <w:t xml:space="preserve">Availability search result (activity departures in v1). </w:t>
            </w:r>
            <w:r>
              <w:rPr>
                <w:b/>
                <w:sz w:val="18"/>
              </w:rPr>
              <w:t xml:space="preserve">The room form is deferred to v2 (ADR 0013).</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"This departure is no longer available."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"items[1].departure_id"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r>
        <w:rPr>
          <w:b/>
          <w:sz w:val="20"/>
        </w:rPr>
        <w:t xml:space="preserve"> Deferred to v2 (ADR 0013). </w:t>
      </w:r>
      <w:r>
        <w:rPr>
          <w:sz w:val="20"/>
        </w:rPr>
        <w:t xml:space="preserve">GET /accommodations/{id}/room-types is not a v1 endpoint. GET /accommodations returns curated location records for a destination — name, property type, coordinates, address, check-in and check-out times — with no price and no availability, because a location record asserts neither.</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b/>
          <w:sz w:val="20"/>
        </w:rPr>
        <w:t xml:space="preserve">Amended v1.2 — ADR 0013. </w:t>
      </w:r>
      <w:r>
        <w:rPr>
          <w:sz w:val="20"/>
        </w:rPr>
        <w:t xml:space="preserve">A STAY item is an anchor: it locks nothing, holds nothing and prices nothing, so the quote skips it entirely. The step this replaces — locking room_availability rows for every night, asserting capacity, incrementing rooms_held and creating an inventory_hold — returns with the subsystem in v2. The activity step below is unchanged.</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0A140005" w14:textId="77777777" w:rsidR="00CF1EF7" w:rsidRDefault="00000000">
      <w:pPr>
        <w:spacing w:after="120" w:line="260" w:lineRule="auto"/>
        <w:ind w:left="-5" w:hanging="10"/>
      </w:pPr>
      <w:r>
        <w:rPr>
          <w:b/>
          <w:sz w:val="20"/>
        </w:rPr>
        <w:t xml:space="preserve">Amended v1.4 — ADR 0017.</w:t>
      </w:r>
      <w:r>
        <w:rPr>
          <w:sz w:val="20"/>
        </w:rPr>
        <w:t xml:space="preserve"> The rating term is the displayable rating, not the raw mean: it reads CASE WHEN rating_count &gt;= :min_display_count THEN rating_avg ELSE NULL END DESC NULLS LAST. BR-127 already forbids displaying a mean for a subject with fewer than three published reviews; ranking on the figure while hiding it let a single five-star review take first place on a listing that reads “New”. Ranking and display are now the same rule, and the threshold is the same review.min_display_count system_setting. The published explanation of placement becomes “rating, once a subject has enough published reviews to have one”. A confidence-weighted mean was considered and rejected: it depends on a global average that drifts as reviews arrive, which the §9.1 keyset cursor cannot encode without silently skipping rows between pages.</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r>
        <w:rPr>
          <w:b/>
          <w:sz w:val="18"/>
        </w:rPr>
        <w:t xml:space="preserve">  Deferred to v2 (ADR 0013).</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0A150006" w14:textId="77777777" w:rsidR="00CF1EF7" w:rsidRDefault="00000000">
      <w:pPr>
        <w:spacing w:after="120" w:line="260" w:lineRule="auto"/>
        <w:ind w:left="-5" w:hanging="10"/>
      </w:pPr>
      <w:r>
        <w:rPr>
          <w:b/>
          <w:sz w:val="20"/>
        </w:rPr>
        <w:t xml:space="preserve">Amended v1.5 - ADR 0018.</w:t>
      </w:r>
      <w:r>
        <w:rPr>
          <w:sz w:val="20"/>
        </w:rPr>
        <w:t xml:space="preserve"> The administrator creates a market as well, above the new region. The pass condition is unchanged and still holds: creating a market is an INSERT, not a migration. Zanzibar and Pemba are seeded as markets; Arusha is deliberately not, because this test is what creates it. Seeding Arusha would replace the criterion with a fixture.</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40009" w14:textId="77777777">
        <w:trPr>
          <w:trHeight w:val="299"/>
        </w:trPr>
        <w:tc>
          <w:tcPr>
            <w:tcW w:w="600" w:type="dxa"/>
            <w:tcBorders>
              <w:top w:val="nil"/>
              <w:left w:val="nil"/>
              <w:bottom w:val="nil"/>
              <w:right w:val="nil"/>
            </w:tcBorders>
          </w:tcPr>
          <w:p w14:paraId="0A140005" w14:textId="77777777" w:rsidR="00CF1EF7" w:rsidRDefault="00000000">
            <w:pPr>
              <w:spacing w:after="0"/>
            </w:pPr>
            <w:r>
              <w:rPr>
                <w:sz w:val="18"/>
              </w:rPr>
              <w:t xml:space="preserve">D 9</w:t>
            </w:r>
          </w:p>
        </w:tc>
        <w:tc>
          <w:tcPr>
            <w:tcW w:w="5000" w:type="dxa"/>
            <w:tcBorders>
              <w:top w:val="nil"/>
              <w:left w:val="nil"/>
              <w:bottom w:val="nil"/>
              <w:right w:val="nil"/>
            </w:tcBorders>
          </w:tcPr>
          <w:p w14:paraId="0A140006" w14:textId="77777777" w:rsidR="00CF1EF7" w:rsidRDefault="00000000">
            <w:pPr>
              <w:spacing w:after="0"/>
            </w:pPr>
            <w:r>
              <w:rPr>
                <w:sz w:val="18"/>
              </w:rPr>
              <w:t xml:space="preserve">Map tile provider — which vendor serves the base map for the four tourist-web screens that show one, and on what commercial terms. Separate from D2: routing and tiles are separately licensed and separately priced even where one vendor sells both. The client uses MapLibre GL JS (BSD) against a tile URL template and attribution string held in system_setting, so no code depends on the choice. The development default is OpenStreetMap, whose tile usage policy does not permit commercial production traffic.</w:t>
            </w:r>
          </w:p>
        </w:tc>
        <w:tc>
          <w:tcPr>
            <w:tcW w:w="2000" w:type="dxa"/>
            <w:tcBorders>
              <w:top w:val="nil"/>
              <w:left w:val="nil"/>
              <w:bottom w:val="nil"/>
              <w:right w:val="nil"/>
            </w:tcBorders>
          </w:tcPr>
          <w:p w14:paraId="0A140007" w14:textId="77777777" w:rsidR="00CF1EF7" w:rsidRDefault="00000000">
            <w:pPr>
              <w:spacing w:after="0"/>
            </w:pPr>
            <w:r>
              <w:rPr>
                <w:sz w:val="18"/>
              </w:rPr>
              <w:t xml:space="preserve">Commercial / Architecture</w:t>
            </w:r>
          </w:p>
        </w:tc>
        <w:tc>
          <w:tcPr>
            <w:tcW w:w="2050" w:type="dxa"/>
            <w:tcBorders>
              <w:top w:val="nil"/>
              <w:left w:val="nil"/>
              <w:bottom w:val="nil"/>
              <w:right w:val="nil"/>
            </w:tcBorders>
          </w:tcPr>
          <w:p w14:paraId="0A140008" w14:textId="77777777" w:rsidR="00CF1EF7" w:rsidRDefault="00000000">
            <w:pPr>
              <w:spacing w:after="0"/>
            </w:pPr>
            <w:r>
              <w:rPr>
                <w:sz w:val="18"/>
              </w:rPr>
              <w:t xml:space="preserve">Blocks production launch; does not block Phase 3 — ADR 0016.</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