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3DBB" w14:textId="5FC25909" w:rsidR="00710F45" w:rsidRPr="00710F45" w:rsidRDefault="00710F45" w:rsidP="00710F45">
      <w:pPr>
        <w:jc w:val="center"/>
        <w:rPr>
          <w:rFonts w:ascii="Times New Roman" w:eastAsia="Calibri" w:hAnsi="Times New Roman" w:cs="Times New Roman"/>
          <w:b/>
          <w:bCs/>
          <w:sz w:val="52"/>
          <w:szCs w:val="52"/>
        </w:rPr>
      </w:pPr>
      <w:r w:rsidRPr="00710F45">
        <w:rPr>
          <w:rFonts w:ascii="Times New Roman" w:eastAsia="Calibri" w:hAnsi="Times New Roman" w:cs="Times New Roman"/>
          <w:b/>
          <w:bCs/>
          <w:sz w:val="52"/>
          <w:szCs w:val="52"/>
        </w:rPr>
        <w:t>Clinical, Laboratory, and Pharmacological Predictors of Adverse Drug Reactions: Insights from Machine Learning Models.</w:t>
      </w:r>
    </w:p>
    <w:p w14:paraId="59D843A2" w14:textId="77777777" w:rsidR="00710F45" w:rsidRPr="00487706" w:rsidRDefault="00710F45" w:rsidP="00710F45">
      <w:pPr>
        <w:jc w:val="center"/>
        <w:rPr>
          <w:rFonts w:asciiTheme="majorBidi" w:hAnsiTheme="majorBidi" w:cstheme="majorBidi"/>
        </w:rPr>
      </w:pPr>
      <w:r w:rsidRPr="00487706">
        <w:rPr>
          <w:rFonts w:asciiTheme="majorBidi" w:hAnsiTheme="majorBidi" w:cstheme="majorBidi"/>
        </w:rPr>
        <w:t>Name: Trevor Mukuve</w:t>
      </w:r>
    </w:p>
    <w:p w14:paraId="58A78E18" w14:textId="77777777" w:rsidR="00710F45" w:rsidRDefault="00710F45" w:rsidP="00710F45">
      <w:pPr>
        <w:jc w:val="center"/>
        <w:rPr>
          <w:rFonts w:asciiTheme="majorBidi" w:hAnsiTheme="majorBidi" w:cstheme="majorBidi"/>
        </w:rPr>
      </w:pPr>
      <w:r w:rsidRPr="00487706">
        <w:rPr>
          <w:rFonts w:asciiTheme="majorBidi" w:hAnsiTheme="majorBidi" w:cstheme="majorBidi"/>
        </w:rPr>
        <w:t>Student number:2414222</w:t>
      </w:r>
    </w:p>
    <w:p w14:paraId="2F030C4E" w14:textId="77777777" w:rsidR="00710F45" w:rsidRDefault="00710F45" w:rsidP="00710F45">
      <w:pPr>
        <w:jc w:val="center"/>
        <w:rPr>
          <w:rFonts w:asciiTheme="majorBidi" w:hAnsiTheme="majorBidi" w:cstheme="majorBidi"/>
        </w:rPr>
      </w:pPr>
      <w:r>
        <w:rPr>
          <w:rFonts w:asciiTheme="majorBidi" w:hAnsiTheme="majorBidi" w:cstheme="majorBidi"/>
        </w:rPr>
        <w:t>Supervisor: Noroozi Amin</w:t>
      </w:r>
    </w:p>
    <w:p w14:paraId="5D32C0B4" w14:textId="77777777" w:rsidR="00710F45" w:rsidRDefault="00710F45" w:rsidP="00710F45">
      <w:pPr>
        <w:ind w:left="720" w:hanging="360"/>
        <w:jc w:val="center"/>
      </w:pPr>
    </w:p>
    <w:p w14:paraId="46EDEACE" w14:textId="77777777" w:rsidR="00710F45" w:rsidRDefault="00710F45" w:rsidP="006F7614">
      <w:pPr>
        <w:ind w:left="720" w:hanging="360"/>
      </w:pPr>
    </w:p>
    <w:p w14:paraId="6185EBEF" w14:textId="77777777" w:rsidR="00710F45" w:rsidRDefault="00710F45" w:rsidP="006F7614">
      <w:pPr>
        <w:ind w:left="720" w:hanging="360"/>
      </w:pPr>
    </w:p>
    <w:p w14:paraId="7F159DFD" w14:textId="77777777" w:rsidR="00710F45" w:rsidRDefault="00710F45" w:rsidP="006F7614">
      <w:pPr>
        <w:ind w:left="720" w:hanging="360"/>
      </w:pPr>
    </w:p>
    <w:p w14:paraId="6BB76B12" w14:textId="77777777" w:rsidR="00710F45" w:rsidRDefault="00710F45" w:rsidP="006F7614">
      <w:pPr>
        <w:ind w:left="720" w:hanging="360"/>
      </w:pPr>
    </w:p>
    <w:p w14:paraId="1661F6BD" w14:textId="77777777" w:rsidR="00710F45" w:rsidRDefault="00710F45" w:rsidP="006F7614">
      <w:pPr>
        <w:ind w:left="720" w:hanging="360"/>
      </w:pPr>
    </w:p>
    <w:p w14:paraId="01314FB3" w14:textId="77777777" w:rsidR="00710F45" w:rsidRDefault="00710F45" w:rsidP="006F7614">
      <w:pPr>
        <w:ind w:left="720" w:hanging="360"/>
      </w:pPr>
    </w:p>
    <w:p w14:paraId="1D44A8BB" w14:textId="77777777" w:rsidR="00710F45" w:rsidRDefault="00710F45" w:rsidP="006F7614">
      <w:pPr>
        <w:ind w:left="720" w:hanging="360"/>
      </w:pPr>
    </w:p>
    <w:p w14:paraId="26A69B3E" w14:textId="77777777" w:rsidR="00710F45" w:rsidRDefault="00710F45" w:rsidP="006F7614">
      <w:pPr>
        <w:ind w:left="720" w:hanging="360"/>
      </w:pPr>
    </w:p>
    <w:p w14:paraId="36D12A15" w14:textId="77777777" w:rsidR="00710F45" w:rsidRDefault="00710F45" w:rsidP="006F7614">
      <w:pPr>
        <w:ind w:left="720" w:hanging="360"/>
      </w:pPr>
    </w:p>
    <w:p w14:paraId="1B8BAFB3" w14:textId="77777777" w:rsidR="00710F45" w:rsidRDefault="00710F45" w:rsidP="006F7614">
      <w:pPr>
        <w:ind w:left="720" w:hanging="360"/>
      </w:pPr>
    </w:p>
    <w:p w14:paraId="2B1F1A6E" w14:textId="77777777" w:rsidR="00710F45" w:rsidRDefault="00710F45" w:rsidP="006F7614">
      <w:pPr>
        <w:ind w:left="720" w:hanging="360"/>
      </w:pPr>
    </w:p>
    <w:p w14:paraId="041DB708" w14:textId="77777777" w:rsidR="00710F45" w:rsidRDefault="00710F45" w:rsidP="006F7614">
      <w:pPr>
        <w:ind w:left="720" w:hanging="360"/>
      </w:pPr>
    </w:p>
    <w:p w14:paraId="347F357B" w14:textId="77777777" w:rsidR="00710F45" w:rsidRDefault="00710F45" w:rsidP="006F7614">
      <w:pPr>
        <w:ind w:left="720" w:hanging="360"/>
      </w:pPr>
    </w:p>
    <w:p w14:paraId="455E174E" w14:textId="77777777" w:rsidR="00710F45" w:rsidRDefault="00710F45" w:rsidP="006F7614">
      <w:pPr>
        <w:ind w:left="720" w:hanging="360"/>
      </w:pPr>
    </w:p>
    <w:p w14:paraId="2F37D6CE" w14:textId="77777777" w:rsidR="00710F45" w:rsidRDefault="00710F45" w:rsidP="006F7614">
      <w:pPr>
        <w:ind w:left="720" w:hanging="360"/>
      </w:pPr>
    </w:p>
    <w:p w14:paraId="6A509D7F" w14:textId="77777777" w:rsidR="00710F45" w:rsidRDefault="00710F45" w:rsidP="006F7614">
      <w:pPr>
        <w:ind w:left="720" w:hanging="360"/>
      </w:pPr>
    </w:p>
    <w:p w14:paraId="5391D146" w14:textId="77777777" w:rsidR="00710F45" w:rsidRDefault="00710F45" w:rsidP="006F7614">
      <w:pPr>
        <w:ind w:left="720" w:hanging="360"/>
      </w:pPr>
    </w:p>
    <w:p w14:paraId="1D823A06" w14:textId="77777777" w:rsidR="00710F45" w:rsidRDefault="00710F45" w:rsidP="006F7614">
      <w:pPr>
        <w:ind w:left="720" w:hanging="360"/>
      </w:pPr>
    </w:p>
    <w:p w14:paraId="0E45685B" w14:textId="77777777" w:rsidR="00710F45" w:rsidRDefault="00710F45" w:rsidP="006F7614">
      <w:pPr>
        <w:ind w:left="720" w:hanging="360"/>
      </w:pPr>
    </w:p>
    <w:p w14:paraId="2B835748" w14:textId="77777777" w:rsidR="00824B2C" w:rsidRDefault="00824B2C" w:rsidP="00824B2C">
      <w:pPr>
        <w:rPr>
          <w:rFonts w:asciiTheme="majorBidi" w:hAnsiTheme="majorBidi" w:cstheme="majorBidi"/>
          <w:b/>
          <w:bCs/>
          <w:sz w:val="28"/>
          <w:szCs w:val="28"/>
        </w:rPr>
      </w:pPr>
      <w:r>
        <w:rPr>
          <w:rFonts w:asciiTheme="majorBidi" w:hAnsiTheme="majorBidi" w:cstheme="majorBidi"/>
          <w:b/>
          <w:bCs/>
          <w:sz w:val="28"/>
          <w:szCs w:val="28"/>
        </w:rPr>
        <w:lastRenderedPageBreak/>
        <w:t>Table of Contents</w:t>
      </w:r>
    </w:p>
    <w:p w14:paraId="68B8382D" w14:textId="77777777" w:rsidR="00824B2C" w:rsidRPr="009A7AEA"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Abstract</w:t>
      </w:r>
    </w:p>
    <w:p w14:paraId="7E4FFA13" w14:textId="77777777" w:rsidR="00824B2C"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Introduction</w:t>
      </w:r>
    </w:p>
    <w:p w14:paraId="5D39A209" w14:textId="77777777" w:rsidR="00824B2C" w:rsidRPr="00186A9E"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Literature Review</w:t>
      </w:r>
    </w:p>
    <w:p w14:paraId="070A2C48" w14:textId="77777777" w:rsidR="00824B2C" w:rsidRPr="00186A9E"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Aims and Objectives</w:t>
      </w:r>
    </w:p>
    <w:p w14:paraId="2C51870C" w14:textId="77777777" w:rsidR="00824B2C" w:rsidRDefault="00824B2C" w:rsidP="00824B2C">
      <w:pPr>
        <w:pStyle w:val="ListParagraph"/>
        <w:numPr>
          <w:ilvl w:val="0"/>
          <w:numId w:val="8"/>
        </w:numPr>
        <w:rPr>
          <w:rFonts w:asciiTheme="majorBidi" w:hAnsiTheme="majorBidi" w:cstheme="majorBidi"/>
          <w:b/>
          <w:bCs/>
          <w:sz w:val="24"/>
          <w:szCs w:val="24"/>
        </w:rPr>
      </w:pPr>
      <w:r>
        <w:rPr>
          <w:rFonts w:asciiTheme="majorBidi" w:hAnsiTheme="majorBidi" w:cstheme="majorBidi"/>
          <w:b/>
          <w:bCs/>
          <w:sz w:val="24"/>
          <w:szCs w:val="24"/>
        </w:rPr>
        <w:t>Methodology</w:t>
      </w:r>
    </w:p>
    <w:p w14:paraId="4EB69660" w14:textId="77777777" w:rsidR="00824B2C"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Data source and Study Design</w:t>
      </w:r>
    </w:p>
    <w:p w14:paraId="4DB3B17F"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Data Preparation and Preprocessing</w:t>
      </w:r>
    </w:p>
    <w:p w14:paraId="01AD4010" w14:textId="77777777" w:rsidR="00824B2C" w:rsidRPr="00186A9E"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Data loading &amp; initial inspection</w:t>
      </w:r>
    </w:p>
    <w:p w14:paraId="6E7F6101" w14:textId="77777777" w:rsidR="00824B2C" w:rsidRPr="00186A9E"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Feature selection</w:t>
      </w:r>
    </w:p>
    <w:p w14:paraId="27B9503D" w14:textId="77777777" w:rsidR="00824B2C" w:rsidRPr="00186A9E"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Train-test split</w:t>
      </w:r>
    </w:p>
    <w:p w14:paraId="0B47FBB8" w14:textId="77777777" w:rsidR="00824B2C" w:rsidRDefault="00824B2C" w:rsidP="00824B2C">
      <w:pPr>
        <w:pStyle w:val="ListParagraph"/>
        <w:numPr>
          <w:ilvl w:val="1"/>
          <w:numId w:val="8"/>
        </w:numPr>
        <w:rPr>
          <w:rFonts w:asciiTheme="majorBidi" w:hAnsiTheme="majorBidi" w:cstheme="majorBidi"/>
          <w:sz w:val="24"/>
          <w:szCs w:val="24"/>
        </w:rPr>
      </w:pPr>
      <w:r w:rsidRPr="00186A9E">
        <w:rPr>
          <w:rFonts w:asciiTheme="majorBidi" w:hAnsiTheme="majorBidi" w:cstheme="majorBidi"/>
          <w:sz w:val="24"/>
          <w:szCs w:val="24"/>
        </w:rPr>
        <w:t>Model structure</w:t>
      </w:r>
    </w:p>
    <w:p w14:paraId="6390873A"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Model Evaluation Strategy</w:t>
      </w:r>
    </w:p>
    <w:p w14:paraId="3AA09D8D" w14:textId="77777777" w:rsidR="00824B2C" w:rsidRPr="00186A9E"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Model Explainability</w:t>
      </w:r>
    </w:p>
    <w:p w14:paraId="3EC91020" w14:textId="77777777" w:rsidR="00824B2C"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 xml:space="preserve">Implementation </w:t>
      </w:r>
    </w:p>
    <w:p w14:paraId="427C76AA" w14:textId="77777777" w:rsidR="00824B2C" w:rsidRPr="00186A9E"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Implementation overview</w:t>
      </w:r>
    </w:p>
    <w:p w14:paraId="3BE125D5" w14:textId="77777777" w:rsidR="00824B2C" w:rsidRDefault="00824B2C" w:rsidP="00824B2C">
      <w:pPr>
        <w:pStyle w:val="ListParagraph"/>
        <w:numPr>
          <w:ilvl w:val="1"/>
          <w:numId w:val="8"/>
        </w:numPr>
        <w:rPr>
          <w:rFonts w:asciiTheme="majorBidi" w:hAnsiTheme="majorBidi" w:cstheme="majorBidi"/>
          <w:sz w:val="24"/>
          <w:szCs w:val="24"/>
        </w:rPr>
      </w:pPr>
      <w:r w:rsidRPr="004A3C06">
        <w:rPr>
          <w:rFonts w:asciiTheme="majorBidi" w:hAnsiTheme="majorBidi" w:cstheme="majorBidi"/>
          <w:sz w:val="24"/>
          <w:szCs w:val="24"/>
        </w:rPr>
        <w:t>Model training</w:t>
      </w:r>
    </w:p>
    <w:p w14:paraId="4775408F"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Prediction on Unseen Data</w:t>
      </w:r>
    </w:p>
    <w:p w14:paraId="783A822A" w14:textId="77777777" w:rsidR="00824B2C" w:rsidRDefault="00824B2C" w:rsidP="00824B2C">
      <w:pPr>
        <w:pStyle w:val="ListParagraph"/>
        <w:numPr>
          <w:ilvl w:val="0"/>
          <w:numId w:val="8"/>
        </w:numPr>
        <w:rPr>
          <w:rFonts w:asciiTheme="majorBidi" w:hAnsiTheme="majorBidi" w:cstheme="majorBidi"/>
          <w:b/>
          <w:bCs/>
          <w:sz w:val="24"/>
          <w:szCs w:val="24"/>
        </w:rPr>
      </w:pPr>
      <w:r w:rsidRPr="00325DDA">
        <w:rPr>
          <w:rFonts w:asciiTheme="majorBidi" w:hAnsiTheme="majorBidi" w:cstheme="majorBidi"/>
          <w:b/>
          <w:bCs/>
          <w:sz w:val="24"/>
          <w:szCs w:val="24"/>
        </w:rPr>
        <w:t>Results</w:t>
      </w:r>
    </w:p>
    <w:p w14:paraId="77A08BC0" w14:textId="77777777" w:rsidR="00824B2C" w:rsidRDefault="00824B2C" w:rsidP="00824B2C">
      <w:pPr>
        <w:pStyle w:val="ListParagraph"/>
        <w:numPr>
          <w:ilvl w:val="1"/>
          <w:numId w:val="8"/>
        </w:numPr>
        <w:rPr>
          <w:rFonts w:asciiTheme="majorBidi" w:hAnsiTheme="majorBidi" w:cstheme="majorBidi"/>
          <w:sz w:val="24"/>
          <w:szCs w:val="24"/>
        </w:rPr>
      </w:pPr>
      <w:r w:rsidRPr="00FA3FD9">
        <w:rPr>
          <w:rFonts w:asciiTheme="majorBidi" w:hAnsiTheme="majorBidi" w:cstheme="majorBidi"/>
          <w:sz w:val="24"/>
          <w:szCs w:val="24"/>
        </w:rPr>
        <w:t>Classification Performance</w:t>
      </w:r>
    </w:p>
    <w:p w14:paraId="651E46C0"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Confusion Matrix Analysis</w:t>
      </w:r>
    </w:p>
    <w:p w14:paraId="558D1348"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Comparative Model Performance</w:t>
      </w:r>
    </w:p>
    <w:p w14:paraId="2029A1B3" w14:textId="77777777" w:rsidR="00824B2C"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Receiver Operating Characteristic (ROC) Analysis</w:t>
      </w:r>
    </w:p>
    <w:p w14:paraId="782D231F" w14:textId="0CDDE3AE" w:rsidR="00824B2C" w:rsidRPr="00FA3FD9"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Explainability of Results</w:t>
      </w:r>
    </w:p>
    <w:p w14:paraId="76A946F5" w14:textId="77777777" w:rsidR="00824B2C"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Discussion</w:t>
      </w:r>
    </w:p>
    <w:p w14:paraId="57141805" w14:textId="77777777" w:rsidR="00824B2C" w:rsidRPr="00FA3FD9" w:rsidRDefault="00824B2C" w:rsidP="00824B2C">
      <w:pPr>
        <w:pStyle w:val="ListParagraph"/>
        <w:numPr>
          <w:ilvl w:val="1"/>
          <w:numId w:val="8"/>
        </w:numPr>
        <w:rPr>
          <w:rFonts w:asciiTheme="majorBidi" w:hAnsiTheme="majorBidi" w:cstheme="majorBidi"/>
          <w:sz w:val="24"/>
          <w:szCs w:val="24"/>
        </w:rPr>
      </w:pPr>
      <w:r w:rsidRPr="00FA3FD9">
        <w:rPr>
          <w:rFonts w:asciiTheme="majorBidi" w:hAnsiTheme="majorBidi" w:cstheme="majorBidi"/>
          <w:sz w:val="24"/>
          <w:szCs w:val="24"/>
        </w:rPr>
        <w:t>Clinical Implications</w:t>
      </w:r>
    </w:p>
    <w:p w14:paraId="38EA4AC3" w14:textId="77777777" w:rsidR="00824B2C"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Conclusions Recommendations</w:t>
      </w:r>
    </w:p>
    <w:p w14:paraId="0F42F79B" w14:textId="77777777" w:rsidR="00824B2C" w:rsidRDefault="00824B2C" w:rsidP="00824B2C">
      <w:pPr>
        <w:pStyle w:val="ListParagraph"/>
        <w:numPr>
          <w:ilvl w:val="1"/>
          <w:numId w:val="8"/>
        </w:numPr>
        <w:rPr>
          <w:rFonts w:asciiTheme="majorBidi" w:hAnsiTheme="majorBidi" w:cstheme="majorBidi"/>
          <w:sz w:val="24"/>
          <w:szCs w:val="24"/>
        </w:rPr>
      </w:pPr>
      <w:r w:rsidRPr="004A3C06">
        <w:rPr>
          <w:rFonts w:asciiTheme="majorBidi" w:hAnsiTheme="majorBidi" w:cstheme="majorBidi"/>
          <w:sz w:val="24"/>
          <w:szCs w:val="24"/>
        </w:rPr>
        <w:t>Co</w:t>
      </w:r>
      <w:r>
        <w:rPr>
          <w:rFonts w:asciiTheme="majorBidi" w:hAnsiTheme="majorBidi" w:cstheme="majorBidi"/>
          <w:sz w:val="24"/>
          <w:szCs w:val="24"/>
        </w:rPr>
        <w:t>n</w:t>
      </w:r>
      <w:r w:rsidRPr="004A3C06">
        <w:rPr>
          <w:rFonts w:asciiTheme="majorBidi" w:hAnsiTheme="majorBidi" w:cstheme="majorBidi"/>
          <w:sz w:val="24"/>
          <w:szCs w:val="24"/>
        </w:rPr>
        <w:t>clusions</w:t>
      </w:r>
    </w:p>
    <w:p w14:paraId="1721A3D8" w14:textId="77777777" w:rsidR="00824B2C" w:rsidRPr="004A3C06" w:rsidRDefault="00824B2C" w:rsidP="00824B2C">
      <w:pPr>
        <w:pStyle w:val="ListParagraph"/>
        <w:numPr>
          <w:ilvl w:val="1"/>
          <w:numId w:val="8"/>
        </w:numPr>
        <w:rPr>
          <w:rFonts w:asciiTheme="majorBidi" w:hAnsiTheme="majorBidi" w:cstheme="majorBidi"/>
          <w:sz w:val="24"/>
          <w:szCs w:val="24"/>
        </w:rPr>
      </w:pPr>
      <w:r>
        <w:rPr>
          <w:rFonts w:asciiTheme="majorBidi" w:hAnsiTheme="majorBidi" w:cstheme="majorBidi"/>
          <w:sz w:val="24"/>
          <w:szCs w:val="24"/>
        </w:rPr>
        <w:t>Recommendations for future research</w:t>
      </w:r>
    </w:p>
    <w:p w14:paraId="0097413B" w14:textId="77777777" w:rsidR="00824B2C" w:rsidRPr="009A7AEA"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References</w:t>
      </w:r>
    </w:p>
    <w:p w14:paraId="45AE2AE8" w14:textId="77777777" w:rsidR="00824B2C" w:rsidRPr="009A7AEA" w:rsidRDefault="00824B2C" w:rsidP="00824B2C">
      <w:pPr>
        <w:pStyle w:val="ListParagraph"/>
        <w:numPr>
          <w:ilvl w:val="0"/>
          <w:numId w:val="8"/>
        </w:numPr>
        <w:rPr>
          <w:rFonts w:asciiTheme="majorBidi" w:hAnsiTheme="majorBidi" w:cstheme="majorBidi"/>
          <w:b/>
          <w:bCs/>
          <w:sz w:val="24"/>
          <w:szCs w:val="24"/>
        </w:rPr>
      </w:pPr>
      <w:r w:rsidRPr="009A7AEA">
        <w:rPr>
          <w:rFonts w:asciiTheme="majorBidi" w:hAnsiTheme="majorBidi" w:cstheme="majorBidi"/>
          <w:b/>
          <w:bCs/>
          <w:sz w:val="24"/>
          <w:szCs w:val="24"/>
        </w:rPr>
        <w:t>Appendix</w:t>
      </w:r>
    </w:p>
    <w:p w14:paraId="0727AE2F" w14:textId="5DB5FCD6" w:rsidR="00710F45" w:rsidRPr="00710F45" w:rsidRDefault="00710F45" w:rsidP="00710F45">
      <w:pPr>
        <w:rPr>
          <w:rFonts w:asciiTheme="majorBidi" w:hAnsiTheme="majorBidi" w:cstheme="majorBidi"/>
        </w:rPr>
      </w:pPr>
      <w:r w:rsidRPr="00710F45">
        <w:rPr>
          <w:rFonts w:asciiTheme="majorBidi" w:hAnsiTheme="majorBidi" w:cstheme="majorBidi"/>
          <w:b/>
          <w:bCs/>
        </w:rPr>
        <w:t xml:space="preserve">Keywords: </w:t>
      </w:r>
      <w:r w:rsidRPr="00710F45">
        <w:rPr>
          <w:rFonts w:asciiTheme="majorBidi" w:hAnsiTheme="majorBidi" w:cstheme="majorBidi"/>
        </w:rPr>
        <w:t>Adverse Drug Reaction (ADR), Classification, Logistic Regression, ROC-AUC, Machine Learning</w:t>
      </w:r>
      <w:r w:rsidR="003045E5">
        <w:rPr>
          <w:rFonts w:asciiTheme="majorBidi" w:hAnsiTheme="majorBidi" w:cstheme="majorBidi"/>
        </w:rPr>
        <w:t>, SVC, Classification Report, Confusion Matrix</w:t>
      </w:r>
    </w:p>
    <w:p w14:paraId="2C58DBFD" w14:textId="77777777" w:rsidR="00710F45" w:rsidRDefault="00710F45" w:rsidP="00710F45"/>
    <w:p w14:paraId="0D4913DF" w14:textId="77777777" w:rsidR="00710F45" w:rsidRDefault="00710F45" w:rsidP="006F7614">
      <w:pPr>
        <w:ind w:left="720" w:hanging="360"/>
      </w:pPr>
    </w:p>
    <w:p w14:paraId="62061AB8" w14:textId="77777777" w:rsidR="00710F45" w:rsidRDefault="00710F45" w:rsidP="006F7614">
      <w:pPr>
        <w:ind w:left="720" w:hanging="360"/>
      </w:pPr>
    </w:p>
    <w:p w14:paraId="57FA2450" w14:textId="77777777" w:rsidR="00710F45" w:rsidRDefault="00710F45" w:rsidP="006F7614">
      <w:pPr>
        <w:ind w:left="720" w:hanging="360"/>
      </w:pPr>
    </w:p>
    <w:p w14:paraId="405DA14C" w14:textId="77777777" w:rsidR="00710F45" w:rsidRDefault="00710F45" w:rsidP="006F7614">
      <w:pPr>
        <w:ind w:left="720" w:hanging="360"/>
      </w:pPr>
    </w:p>
    <w:p w14:paraId="5135C3A9" w14:textId="77777777" w:rsidR="00710F45" w:rsidRDefault="00710F45" w:rsidP="006F7614">
      <w:pPr>
        <w:ind w:left="720" w:hanging="360"/>
      </w:pPr>
    </w:p>
    <w:p w14:paraId="4B049F27" w14:textId="77777777" w:rsidR="00710F45" w:rsidRDefault="00710F45" w:rsidP="006F7614">
      <w:pPr>
        <w:ind w:left="720" w:hanging="360"/>
      </w:pPr>
    </w:p>
    <w:p w14:paraId="1BD5AD9E" w14:textId="77777777" w:rsidR="00710F45" w:rsidRDefault="00710F45" w:rsidP="006F7614">
      <w:pPr>
        <w:ind w:left="720" w:hanging="360"/>
      </w:pPr>
    </w:p>
    <w:p w14:paraId="571AF4BD" w14:textId="22F0E858" w:rsidR="006F7614" w:rsidRPr="00AD5722" w:rsidRDefault="006F7614" w:rsidP="006F7614">
      <w:pPr>
        <w:pStyle w:val="ListParagraph"/>
        <w:numPr>
          <w:ilvl w:val="0"/>
          <w:numId w:val="4"/>
        </w:numPr>
        <w:rPr>
          <w:rFonts w:asciiTheme="majorBidi" w:hAnsiTheme="majorBidi" w:cstheme="majorBidi"/>
          <w:b/>
          <w:bCs/>
          <w:sz w:val="28"/>
          <w:szCs w:val="28"/>
        </w:rPr>
      </w:pPr>
      <w:r w:rsidRPr="00AD5722">
        <w:rPr>
          <w:rFonts w:asciiTheme="majorBidi" w:hAnsiTheme="majorBidi" w:cstheme="majorBidi"/>
          <w:b/>
          <w:bCs/>
          <w:sz w:val="28"/>
          <w:szCs w:val="28"/>
        </w:rPr>
        <w:t>Abstract</w:t>
      </w:r>
    </w:p>
    <w:p w14:paraId="402BCCE7" w14:textId="3BB0146D" w:rsidR="006F7614" w:rsidRPr="00D926B9" w:rsidRDefault="006F7614" w:rsidP="006F7614">
      <w:pPr>
        <w:pStyle w:val="NormalWeb"/>
        <w:spacing w:line="360" w:lineRule="auto"/>
        <w:rPr>
          <w:sz w:val="22"/>
          <w:szCs w:val="22"/>
        </w:rPr>
      </w:pPr>
      <w:r w:rsidRPr="00D926B9">
        <w:rPr>
          <w:sz w:val="22"/>
          <w:szCs w:val="22"/>
        </w:rPr>
        <w:t xml:space="preserve">Adverse drug reactions (ADRs) </w:t>
      </w:r>
      <w:r>
        <w:rPr>
          <w:sz w:val="22"/>
          <w:szCs w:val="22"/>
        </w:rPr>
        <w:t>are</w:t>
      </w:r>
      <w:r w:rsidRPr="00D926B9">
        <w:rPr>
          <w:sz w:val="22"/>
          <w:szCs w:val="22"/>
        </w:rPr>
        <w:t xml:space="preserve"> a ma</w:t>
      </w:r>
      <w:r>
        <w:rPr>
          <w:sz w:val="22"/>
          <w:szCs w:val="22"/>
        </w:rPr>
        <w:t>jor</w:t>
      </w:r>
      <w:r w:rsidRPr="00D926B9">
        <w:rPr>
          <w:sz w:val="22"/>
          <w:szCs w:val="22"/>
        </w:rPr>
        <w:t xml:space="preserve"> cause of preventable patient harm and prolonged hospitalisation. In clinical decision-support systems, </w:t>
      </w:r>
      <w:r w:rsidR="00F06837">
        <w:rPr>
          <w:sz w:val="22"/>
          <w:szCs w:val="22"/>
        </w:rPr>
        <w:t xml:space="preserve">the ability to </w:t>
      </w:r>
      <w:r w:rsidRPr="00D926B9">
        <w:rPr>
          <w:sz w:val="22"/>
          <w:szCs w:val="22"/>
        </w:rPr>
        <w:t xml:space="preserve">accurately identify patients at risk of </w:t>
      </w:r>
      <w:r w:rsidR="00CC3844">
        <w:rPr>
          <w:sz w:val="22"/>
          <w:szCs w:val="22"/>
        </w:rPr>
        <w:t xml:space="preserve">an </w:t>
      </w:r>
      <w:r w:rsidRPr="00D926B9">
        <w:rPr>
          <w:sz w:val="22"/>
          <w:szCs w:val="22"/>
        </w:rPr>
        <w:t xml:space="preserve">ADR is essential to reduce unnecessary alerts, minimise alarm fatigue, and allocate clinical resources appropriately. This study </w:t>
      </w:r>
      <w:r w:rsidR="00F06837">
        <w:rPr>
          <w:sz w:val="22"/>
          <w:szCs w:val="22"/>
        </w:rPr>
        <w:t xml:space="preserve">aims to </w:t>
      </w:r>
      <w:r w:rsidRPr="00D926B9">
        <w:rPr>
          <w:sz w:val="22"/>
          <w:szCs w:val="22"/>
        </w:rPr>
        <w:t>evaluate interpretable machine learning models for ADR prediction using routinely collected clinical, laboratory, and pharmacological data from</w:t>
      </w:r>
      <w:r w:rsidR="00F06837">
        <w:rPr>
          <w:sz w:val="22"/>
          <w:szCs w:val="22"/>
        </w:rPr>
        <w:t xml:space="preserve"> a group of</w:t>
      </w:r>
      <w:r w:rsidRPr="00D926B9">
        <w:rPr>
          <w:sz w:val="22"/>
          <w:szCs w:val="22"/>
        </w:rPr>
        <w:t xml:space="preserve"> hospitalised patients.</w:t>
      </w:r>
    </w:p>
    <w:p w14:paraId="6B609661" w14:textId="021857A4" w:rsidR="006F7614" w:rsidRPr="00D926B9" w:rsidRDefault="006F7614" w:rsidP="006F7614">
      <w:pPr>
        <w:pStyle w:val="NormalWeb"/>
        <w:spacing w:line="360" w:lineRule="auto"/>
        <w:rPr>
          <w:sz w:val="22"/>
          <w:szCs w:val="22"/>
        </w:rPr>
      </w:pPr>
      <w:r w:rsidRPr="00D926B9">
        <w:rPr>
          <w:sz w:val="22"/>
          <w:szCs w:val="22"/>
        </w:rPr>
        <w:t>Using a retrospective dataset from a Brazilian tertiary hospital cohort, Logistic Regression (LR) and Support Vector Classification (SVC) model</w:t>
      </w:r>
      <w:r>
        <w:rPr>
          <w:sz w:val="22"/>
          <w:szCs w:val="22"/>
        </w:rPr>
        <w:t>s</w:t>
      </w:r>
      <w:r w:rsidRPr="00D926B9">
        <w:rPr>
          <w:sz w:val="22"/>
          <w:szCs w:val="22"/>
        </w:rPr>
        <w:t xml:space="preserve"> were developed with cost-sensitive learning to address class imbalance. </w:t>
      </w:r>
      <w:r w:rsidR="00E43593">
        <w:rPr>
          <w:sz w:val="22"/>
          <w:szCs w:val="22"/>
        </w:rPr>
        <w:t xml:space="preserve">Precision, accuracy, </w:t>
      </w:r>
      <w:r w:rsidRPr="00D926B9">
        <w:rPr>
          <w:sz w:val="22"/>
          <w:szCs w:val="22"/>
        </w:rPr>
        <w:t>recall, F1-score, and confusion matrix analysis,</w:t>
      </w:r>
      <w:r w:rsidR="00E43593">
        <w:rPr>
          <w:sz w:val="22"/>
          <w:szCs w:val="22"/>
        </w:rPr>
        <w:t xml:space="preserve"> were assessed for model performance</w:t>
      </w:r>
      <w:r w:rsidRPr="00D926B9">
        <w:rPr>
          <w:sz w:val="22"/>
          <w:szCs w:val="22"/>
        </w:rPr>
        <w:t xml:space="preserve"> with emphasis on recall for the ADR class (class </w:t>
      </w:r>
      <w:r>
        <w:rPr>
          <w:sz w:val="22"/>
          <w:szCs w:val="22"/>
        </w:rPr>
        <w:t>1</w:t>
      </w:r>
      <w:r w:rsidRPr="00D926B9">
        <w:rPr>
          <w:sz w:val="22"/>
          <w:szCs w:val="22"/>
        </w:rPr>
        <w:t xml:space="preserve">) to assess </w:t>
      </w:r>
      <w:r w:rsidR="00CC3844">
        <w:rPr>
          <w:sz w:val="22"/>
          <w:szCs w:val="22"/>
        </w:rPr>
        <w:t xml:space="preserve">how </w:t>
      </w:r>
      <w:r w:rsidRPr="00D926B9">
        <w:rPr>
          <w:sz w:val="22"/>
          <w:szCs w:val="22"/>
        </w:rPr>
        <w:t>reliab</w:t>
      </w:r>
      <w:r w:rsidR="00CC3844">
        <w:rPr>
          <w:sz w:val="22"/>
          <w:szCs w:val="22"/>
        </w:rPr>
        <w:t>le it is</w:t>
      </w:r>
      <w:r w:rsidRPr="00D926B9">
        <w:rPr>
          <w:sz w:val="22"/>
          <w:szCs w:val="22"/>
        </w:rPr>
        <w:t xml:space="preserve"> </w:t>
      </w:r>
      <w:r w:rsidR="00CC3844">
        <w:rPr>
          <w:sz w:val="22"/>
          <w:szCs w:val="22"/>
        </w:rPr>
        <w:t>at</w:t>
      </w:r>
      <w:r w:rsidRPr="00D926B9">
        <w:rPr>
          <w:sz w:val="22"/>
          <w:szCs w:val="22"/>
        </w:rPr>
        <w:t xml:space="preserve"> rul</w:t>
      </w:r>
      <w:r w:rsidR="00CC3844">
        <w:rPr>
          <w:sz w:val="22"/>
          <w:szCs w:val="22"/>
        </w:rPr>
        <w:t xml:space="preserve">ing </w:t>
      </w:r>
      <w:r w:rsidRPr="00D926B9">
        <w:rPr>
          <w:sz w:val="22"/>
          <w:szCs w:val="22"/>
        </w:rPr>
        <w:t>out ADR risk</w:t>
      </w:r>
      <w:r w:rsidR="00CC3844">
        <w:rPr>
          <w:sz w:val="22"/>
          <w:szCs w:val="22"/>
        </w:rPr>
        <w:t>s</w:t>
      </w:r>
      <w:r w:rsidRPr="00D926B9">
        <w:rPr>
          <w:sz w:val="22"/>
          <w:szCs w:val="22"/>
        </w:rPr>
        <w:t>.</w:t>
      </w:r>
    </w:p>
    <w:p w14:paraId="7375E69F" w14:textId="4C1F04A3" w:rsidR="006F7614" w:rsidRPr="00D926B9" w:rsidRDefault="006F7614" w:rsidP="006F7614">
      <w:pPr>
        <w:pStyle w:val="NormalWeb"/>
        <w:spacing w:line="360" w:lineRule="auto"/>
        <w:rPr>
          <w:sz w:val="22"/>
          <w:szCs w:val="22"/>
        </w:rPr>
      </w:pPr>
      <w:r w:rsidRPr="00D926B9">
        <w:rPr>
          <w:sz w:val="22"/>
          <w:szCs w:val="22"/>
        </w:rPr>
        <w:t xml:space="preserve">The SVC model achieved a class </w:t>
      </w:r>
      <w:r w:rsidR="00CC3844">
        <w:rPr>
          <w:sz w:val="22"/>
          <w:szCs w:val="22"/>
        </w:rPr>
        <w:t>1</w:t>
      </w:r>
      <w:r w:rsidRPr="00D926B9">
        <w:rPr>
          <w:sz w:val="22"/>
          <w:szCs w:val="22"/>
        </w:rPr>
        <w:t xml:space="preserve"> recall of 0.6</w:t>
      </w:r>
      <w:r w:rsidR="00CC3844">
        <w:rPr>
          <w:sz w:val="22"/>
          <w:szCs w:val="22"/>
        </w:rPr>
        <w:t>6</w:t>
      </w:r>
      <w:r w:rsidRPr="00D926B9">
        <w:rPr>
          <w:sz w:val="22"/>
          <w:szCs w:val="22"/>
        </w:rPr>
        <w:t xml:space="preserve">, correctly identifying </w:t>
      </w:r>
      <w:r w:rsidR="00CC3844">
        <w:rPr>
          <w:sz w:val="22"/>
          <w:szCs w:val="22"/>
        </w:rPr>
        <w:t>47</w:t>
      </w:r>
      <w:r w:rsidRPr="00D926B9">
        <w:rPr>
          <w:sz w:val="22"/>
          <w:szCs w:val="22"/>
        </w:rPr>
        <w:t xml:space="preserve"> ADR cases, with an overall accuracy of 0.</w:t>
      </w:r>
      <w:r w:rsidR="00CC3844">
        <w:rPr>
          <w:sz w:val="22"/>
          <w:szCs w:val="22"/>
        </w:rPr>
        <w:t>64</w:t>
      </w:r>
      <w:r w:rsidRPr="00D926B9">
        <w:rPr>
          <w:sz w:val="22"/>
          <w:szCs w:val="22"/>
        </w:rPr>
        <w:t xml:space="preserve">. Logistic Regression achieved a class </w:t>
      </w:r>
      <w:r w:rsidR="00CC3844">
        <w:rPr>
          <w:sz w:val="22"/>
          <w:szCs w:val="22"/>
        </w:rPr>
        <w:t>1</w:t>
      </w:r>
      <w:r w:rsidRPr="00D926B9">
        <w:rPr>
          <w:sz w:val="22"/>
          <w:szCs w:val="22"/>
        </w:rPr>
        <w:t xml:space="preserve"> recall of 0.6</w:t>
      </w:r>
      <w:r w:rsidR="00CC3844">
        <w:rPr>
          <w:sz w:val="22"/>
          <w:szCs w:val="22"/>
        </w:rPr>
        <w:t>0</w:t>
      </w:r>
      <w:r w:rsidRPr="00D926B9">
        <w:rPr>
          <w:sz w:val="22"/>
          <w:szCs w:val="22"/>
        </w:rPr>
        <w:t xml:space="preserve">, correctly identifying </w:t>
      </w:r>
      <w:r w:rsidR="00CC3844">
        <w:rPr>
          <w:sz w:val="22"/>
          <w:szCs w:val="22"/>
        </w:rPr>
        <w:t>41</w:t>
      </w:r>
      <w:r>
        <w:rPr>
          <w:sz w:val="22"/>
          <w:szCs w:val="22"/>
        </w:rPr>
        <w:t xml:space="preserve"> non-ADR cases, with an overall accuracy of 0.62. While both models demonstrated moderate </w:t>
      </w:r>
      <w:r w:rsidRPr="00D926B9">
        <w:rPr>
          <w:sz w:val="22"/>
          <w:szCs w:val="22"/>
        </w:rPr>
        <w:t xml:space="preserve">predictive performance, the SVC model showed slightly improved reliability in identifying low-risk patients, highlighting important differences in error profiles </w:t>
      </w:r>
      <w:r w:rsidR="00CC3844">
        <w:rPr>
          <w:sz w:val="22"/>
          <w:szCs w:val="22"/>
        </w:rPr>
        <w:t>that accuracy alone can miss.</w:t>
      </w:r>
    </w:p>
    <w:p w14:paraId="68CB56B2" w14:textId="6F67AB6D" w:rsidR="006F7614" w:rsidRPr="00710F45" w:rsidRDefault="006F7614" w:rsidP="00710F45">
      <w:pPr>
        <w:pStyle w:val="NormalWeb"/>
        <w:spacing w:line="360" w:lineRule="auto"/>
        <w:rPr>
          <w:sz w:val="22"/>
          <w:szCs w:val="22"/>
        </w:rPr>
      </w:pPr>
      <w:r w:rsidRPr="00D926B9">
        <w:rPr>
          <w:sz w:val="22"/>
          <w:szCs w:val="22"/>
        </w:rPr>
        <w:t>Permutation-based feature importance and SHAP analysis indicated that medication burden, renal dysfunction markers, comorbidity burden, and key laboratory abnormalities were the strongest contributors to ADR risk</w:t>
      </w:r>
      <w:r w:rsidR="00CC3844">
        <w:rPr>
          <w:sz w:val="22"/>
          <w:szCs w:val="22"/>
        </w:rPr>
        <w:t>;</w:t>
      </w:r>
      <w:r w:rsidRPr="00D926B9">
        <w:rPr>
          <w:sz w:val="22"/>
          <w:szCs w:val="22"/>
        </w:rPr>
        <w:t xml:space="preserve"> </w:t>
      </w:r>
      <w:r w:rsidR="00CC3844">
        <w:rPr>
          <w:sz w:val="22"/>
          <w:szCs w:val="22"/>
        </w:rPr>
        <w:t>this is c</w:t>
      </w:r>
      <w:r w:rsidRPr="00D926B9">
        <w:rPr>
          <w:sz w:val="22"/>
          <w:szCs w:val="22"/>
        </w:rPr>
        <w:t xml:space="preserve">onsistent with established clinical evidence. Overall, the findings demonstrate that interpretable machine learning models can support </w:t>
      </w:r>
      <w:r w:rsidR="00545609">
        <w:rPr>
          <w:sz w:val="22"/>
          <w:szCs w:val="22"/>
        </w:rPr>
        <w:t>ADR risk stratification that is clinically meaningful</w:t>
      </w:r>
      <w:r w:rsidRPr="00D926B9">
        <w:rPr>
          <w:sz w:val="22"/>
          <w:szCs w:val="22"/>
        </w:rPr>
        <w:t xml:space="preserve">, </w:t>
      </w:r>
      <w:r w:rsidR="00545609">
        <w:rPr>
          <w:sz w:val="22"/>
          <w:szCs w:val="22"/>
        </w:rPr>
        <w:t xml:space="preserve">specifically </w:t>
      </w:r>
      <w:r w:rsidRPr="00D926B9">
        <w:rPr>
          <w:sz w:val="22"/>
          <w:szCs w:val="22"/>
        </w:rPr>
        <w:t xml:space="preserve">by identifying patients </w:t>
      </w:r>
      <w:r w:rsidR="00545609">
        <w:rPr>
          <w:sz w:val="22"/>
          <w:szCs w:val="22"/>
        </w:rPr>
        <w:t xml:space="preserve">who are </w:t>
      </w:r>
      <w:r w:rsidRPr="00D926B9">
        <w:rPr>
          <w:sz w:val="22"/>
          <w:szCs w:val="22"/>
        </w:rPr>
        <w:t>likely to experience adverse drug reactions.</w:t>
      </w:r>
    </w:p>
    <w:p w14:paraId="0526B9C3" w14:textId="77777777" w:rsidR="006F7614" w:rsidRPr="009A7AEA" w:rsidRDefault="006F7614" w:rsidP="006F7614">
      <w:pPr>
        <w:pStyle w:val="ListParagraph"/>
        <w:numPr>
          <w:ilvl w:val="0"/>
          <w:numId w:val="4"/>
        </w:numPr>
        <w:rPr>
          <w:rFonts w:asciiTheme="majorBidi" w:hAnsiTheme="majorBidi" w:cstheme="majorBidi"/>
          <w:b/>
          <w:bCs/>
          <w:sz w:val="28"/>
          <w:szCs w:val="28"/>
        </w:rPr>
      </w:pPr>
      <w:r w:rsidRPr="009A7AEA">
        <w:rPr>
          <w:rFonts w:asciiTheme="majorBidi" w:hAnsiTheme="majorBidi" w:cstheme="majorBidi"/>
          <w:b/>
          <w:bCs/>
          <w:sz w:val="28"/>
          <w:szCs w:val="28"/>
        </w:rPr>
        <w:t xml:space="preserve">Introduction </w:t>
      </w:r>
    </w:p>
    <w:p w14:paraId="39B1176D" w14:textId="695F5523" w:rsidR="006F7614" w:rsidRPr="00F93DAD" w:rsidRDefault="00545609" w:rsidP="00A022A5">
      <w:pPr>
        <w:spacing w:line="360" w:lineRule="auto"/>
        <w:rPr>
          <w:rFonts w:asciiTheme="majorBidi" w:hAnsiTheme="majorBidi" w:cstheme="majorBidi"/>
        </w:rPr>
      </w:pPr>
      <w:r>
        <w:rPr>
          <w:rFonts w:asciiTheme="majorBidi" w:hAnsiTheme="majorBidi" w:cstheme="majorBidi"/>
          <w:kern w:val="0"/>
          <w14:ligatures w14:val="none"/>
        </w:rPr>
        <w:t xml:space="preserve">Adverse drug reactions (ADRs) are involuntary, harmful </w:t>
      </w:r>
      <w:r w:rsidR="00E43593">
        <w:rPr>
          <w:rFonts w:asciiTheme="majorBidi" w:hAnsiTheme="majorBidi" w:cstheme="majorBidi"/>
          <w:kern w:val="0"/>
          <w14:ligatures w14:val="none"/>
        </w:rPr>
        <w:t>impacts</w:t>
      </w:r>
      <w:r>
        <w:rPr>
          <w:rFonts w:asciiTheme="majorBidi" w:hAnsiTheme="majorBidi" w:cstheme="majorBidi"/>
          <w:kern w:val="0"/>
          <w14:ligatures w14:val="none"/>
        </w:rPr>
        <w:t xml:space="preserve"> associated with the </w:t>
      </w:r>
      <w:r w:rsidR="00E43593">
        <w:rPr>
          <w:rFonts w:asciiTheme="majorBidi" w:hAnsiTheme="majorBidi" w:cstheme="majorBidi"/>
          <w:kern w:val="0"/>
          <w14:ligatures w14:val="none"/>
        </w:rPr>
        <w:t>consumption</w:t>
      </w:r>
      <w:r>
        <w:rPr>
          <w:rFonts w:asciiTheme="majorBidi" w:hAnsiTheme="majorBidi" w:cstheme="majorBidi"/>
          <w:kern w:val="0"/>
          <w14:ligatures w14:val="none"/>
        </w:rPr>
        <w:t xml:space="preserve"> of medicines. They are a major cause of mortality, morbidity, and hospital costs; in addition, they pose significant risks and account for about 8.4% of hospital admissions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{"citationID":"o4Lx8G2U","properties":{"formattedCitation":"(Coleman and Pontefract, 2016; Montan\\uc0\\u233{} and Santesmases, 2020)","plainCitation":"(Coleman and Pontefract, 2016; Montané and Santesmases, 2020)","noteIndex":0},"citationItems":[{"id":570,"uris":["http://zotero.org/users/13727123/items/LBP5CK89"],"itemData":{"id":570,"type":"article-journal","abstract":"Adverse drug reactions (ADRs) remain a challenge in modern healthcare, particularly given the increasing complexity of therapeutics, an ageing population and rising multimorbidity. This article summarises some of the key facts about ADRs and explores aspects relating to their prevention, diagnosis, reporting and management in current clinical practice.","container-title":"Clinical Medicine","DOI":"10.7861/clinmedicine.16-5-481","ISSN":"1470-2118","issue":"5","journalAbbreviation":"Clin Med (Lond)","note":"PMID: 27697815\nPMCID: PMC6297296","page":"481-485","source":"PubMed Central","title":"Adverse drug reactions","volume":"16","author":[{"family":"Coleman","given":"Jamie J"},{"family":"Pontefract","given":"Sarah K"}],"issued":{"date-parts":[["2016",10]]}}},{"id":568,"uris":["http://zotero.org/users/13727123/items/MGEQA5SH"],"itemData":{"id":568,"type":"article-journal","abstract":"An adverse drug reaction (ADR) is defined as a response to a medicinal product which is noxious and unintended. ADRs are an important cause of morbidity and mortality and increase health costs. The pharmacovigilance systems allow the identification and prevention of the risks associated with the drug use, especially of recently commercialized drugs; they detect signals from data of the global ADR register and also support decisions taken by regulatory agencies in different countries. Only few drugs are withdrawn from the market, mainly due to hepatotoxicity. Spontaneous notification of ADR is the cheapest, simplest and most used method to recognize new safety drug problems, being its main limitation the under-reporting. The future of pharmacovigilance and ADRs will include a higher involvement of patients, doctors, health authorities and pharmaceutical companies, and the use of new technologies.\nResumen\nSe define como reacción adversa a medicamentos (RAM) cualquier respuesta nociva y no intencionada a un medicamento. Las RAM constituyen una importante causa de morbi-mortalidad y de aumento de costes sanitarios. Los sistemas de farmacovigilancia permiten la identificación y prevención de los riesgos asociados al uso de medicamentos, sobre todo de los fármacos de reciente comercialización; detectan señales a partir de datos del registro mundial de RAM y además dan soporte a las decisiones adoptadas por las agencias reguladoras de diferentes países. Sólo una minoría de medicamentos comercializados se retiran del mercado, siendo la hepatotoxicidad la causa más frecuente. La notificación espontánea de RAM es el método más utilizado, barato y sencillo para reconocer nuevos problemas de seguridad, siendo su principal limitación la infranotificación. El futuro de la farmacovigilancia y de las RAM pasará por una mayor implicación de los pacientes, médicos, autoridades sanitarias y empresas farmacéuticas, y por el uso de las nuevas tecnologías.","container-title":"Medicina Clínica (English Edition)","DOI":"10.1016/j.medcle.2019.08.005","ISSN":"2387-0206","issue":"5","journalAbbreviation":"Medicina Clínica (English Edition)","page":"178-184","source":"ScienceDirect","title":"Adverse drug reactions","volume":"154","author":[{"family":"Montané","given":"Eva"},{"family":"Santesmases","given":"Javier"}],"issued":{"date-parts":[["2020",3,13]]}}}],"schema":"https://github.com/citation-style-language/schema/raw/master/csl-citation.json"}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(Coleman and Pontefract, 2016; Montané and Santesmases, 2020)</w:t>
      </w:r>
      <w:r>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Studies also show that 45% of ADR-related hospital admissions are </w:t>
      </w:r>
      <w:r>
        <w:rPr>
          <w:rFonts w:asciiTheme="majorBidi" w:hAnsiTheme="majorBidi" w:cstheme="majorBidi"/>
          <w:kern w:val="0"/>
          <w14:ligatures w14:val="none"/>
        </w:rPr>
        <w:lastRenderedPageBreak/>
        <w:t xml:space="preserve">preventable, indicating a large proportion of avoidable medication-related harm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{"citationID":"IRGCibbP","properties":{"formattedCitation":"(Osanlou et al., 2022)","plainCitation":"(Osanlou et al., 2022)","noteIndex":0},"citationItems":[{"id":"EtHRhwhX/ncZj1GCe","uris":["http://zotero.org/users/13727123/items/DIGK9LU2"],"itemData":{"id":576,"type":"article-journal","abstract":"Objective\n              To ascertain the burden and associated cost of adverse drug reactions (ADRs), polypharmacy and multimorbidity through a prospective analysis of all medical admissions to a large university teaching hospital over a 1-month period.\n            \n            \n              Design\n              Prospective observational study.\n            \n            \n              Setting\n              Liverpool University Hospital Foundation National Health Service (NHS) Trust, England.\n            \n            \n              Participants\n              All medical admissions with greater than 24-hour stay over a 1-month period.\n            \n            \n              Main outcome measures\n              Prevalence of admissions due to an ADR and associated mortality, prevalence and association of multimorbidity and polypharmacy with ADRs, and estimated local financial cost of admissions where an ADR was a contributing or main reason for admission with projected costs for NHS in England.\n            \n            \n              Results\n              There were 218 identified patient admissions with an ADR giving a prevalence of 18.4%. The majority of these (90.4%) were ADRs that directly resulted in or contributed to admission. ADRs thus accounted for 16.5% of total admissions. Those with an ADR were on average taking more medicines (10.5 vs 7.8, p&lt;0.01) and had more comorbidities than those without an ADR (6.1 vs 5.2, p&lt;0.01). Drugs most commonly implicated were diuretics, steroid inhalers, anticoagulants and antiplatelets, proton pump inhibitors, chemotherapeutic agents and antihypertensives. 40.4% of ADRs were classified avoidable or possibly avoidable. The mortality rate due to an ADR was 0.34%. The average length of stay for those with an ADR was 6 days. Direct 1-month cost to the Trust from ADR admissions was £490 716. Extrapolated nationally, the projected annual cost to the NHS in England is 2.21 billion.\n            \n            \n              Conclusion\n              The local prevalence of admission and mortality from ADRs is higher than previously reported. Important factors that could be contributing to this include polypharmacy and multimorbidity. ADRs place a significant burden on patients and healthcare services with associated financial implications. Reducing inappropriate polypharmacy should be a major aim for preventing ADRs.","container-title":"BMJ Open","DOI":"10.1136/bmjopen-2021-055551","ISSN":"2044-6055, 2044-6055","issue":"7","journalAbbreviation":"BMJ Open","language":"en","page":"e055551","source":"DOI.org (Crossref)","title":"Adverse drug reactions, multimorbidity and polypharmacy: a prospective analysis of 1 month of medical admissions","title-short":"Adverse drug reactions, multimorbidity and polypharmacy","volume":"12","author":[{"family":"Osanlou","given":"Rostam"},{"family":"Walker","given":"Lauren"},{"family":"Hughes","given":"Dyfrig A"},{"family":"Burnside","given":"Girvan"},{"family":"Pirmohamed","given":"Munir"}],"issued":{"date-parts":[["2022",7]]}}}],"schema":"https://github.com/citation-style-language/schema/raw/master/csl-citation.json"} </w:instrText>
      </w:r>
      <w:r>
        <w:rPr>
          <w:rFonts w:asciiTheme="majorBidi" w:hAnsiTheme="majorBidi" w:cstheme="majorBidi"/>
          <w:kern w:val="0"/>
          <w14:ligatures w14:val="none"/>
        </w:rPr>
        <w:fldChar w:fldCharType="separate"/>
      </w:r>
      <w:r w:rsidR="00A022A5" w:rsidRPr="00A022A5">
        <w:rPr>
          <w:rFonts w:ascii="Times New Roman" w:hAnsi="Times New Roman" w:cs="Times New Roman"/>
        </w:rPr>
        <w:t>(Osanlou et al., 2022)</w:t>
      </w:r>
      <w:r>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They further indicate that adverse drug reactions cause roughly 6–7% of unplanned hospital stays, with many leading to extended hospitalisation, though patient harm was preventable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{"citationID":"QcWnQZxW","properties":{"formattedCitation":"(Pirmohamed et al., 2004)","plainCitation":"(Pirmohamed et al., 2004)","noteIndex":0},"citationItems":[{"id":626,"uris":["http://zotero.org/users/13727123/items/EX6IL7U3"],"itemData":{"id":626,"type":"article-journal","abstract":"Objective To ascertain the current burden of adverse drug reactions (ADRs) through a prospective analysis of all admissions to hospital.\nDesign Prospective observational study.\nSetting Two large general hospitals in Merseyside, England.\nParticipants 18 820 patients aged &gt; 16 years admitted over six months and assessed for cause of admission.\nMain outcome measures Prevalence of admissions due to an ADR, length of stay, avoidability, and outcome.\nResults There were 1225 admissions related to an ADR, giving a prevalence of 6.5%, with the ADR directly leading to the admission in 80% of cases. The median bed stay was eight days, accounting for 4% of the hospital bed capacity. The projected annual cost of such admissions to the NHS is £466m (€706m, $847m). The overall fatality was 0.15%. Most reactions were either definitely or possibly avoidable. Drugs most commonly implicated in causing these admissions included low dose aspirin, diuretics, warfarin, and non-steroidal anti-inflammatory drugs other than aspirin, the most common reaction being gastrointestinal bleeding.\nConclusion The burden of ADRs on the NHS is high, accounting for considerable morbidity, mortality, and extra costs. Although many of the implicated drugs have proved benefit, measures need to be put into place to reduce the burden of ADRs and thereby further improve the benefit:harm ratio of the drugs.","container-title":"BMJ","DOI":"10.1136/bmj.329.7456.15","ISSN":"0959-8138, 1468-5833","issue":"7456","journalAbbreviation":"BMJ","language":"en","license":"© 2004 BMJ Publishing Group Ltd.","note":"publisher: British Medical Journal Publishing Group\nsection: Paper\nPMID: 15231615","page":"15-19","source":"www.bmj.com","title":"Adverse drug reactions as cause of admission to hospital: prospective analysis of 18 820 patients","title-short":"Adverse drug reactions as cause of admission to hospital","volume":"329","author":[{"family":"Pirmohamed","given":"Munir"},{"family":"James","given":"Sally"},{"family":"Meakin","given":"Shaun"},{"family":"Green","given":"Chris"},{"family":"Scott","given":"Andrew K."},{"family":"Walley","given":"Thomas J."},{"family":"Farrar","given":"Keith"},{"family":"Park","given":"B. Kevin"},{"family":"Breckenridge","given":"Alasdair M."}],"issued":{"date-parts":[["2004",7,1]]}}}],"schema":"https://github.com/citation-style-language/schema/raw/master/csl-citation.json"} </w:instrText>
      </w:r>
      <w:r>
        <w:rPr>
          <w:rFonts w:asciiTheme="majorBidi" w:hAnsiTheme="majorBidi" w:cstheme="majorBidi"/>
          <w:kern w:val="0"/>
          <w14:ligatures w14:val="none"/>
        </w:rPr>
        <w:fldChar w:fldCharType="separate"/>
      </w:r>
      <w:r>
        <w:rPr>
          <w:rFonts w:ascii="Times New Roman" w:hAnsi="Times New Roman" w:cs="Times New Roman"/>
          <w:kern w:val="0"/>
          <w14:ligatures w14:val="none"/>
        </w:rPr>
        <w:t>(Pirmohamed et al., 2004)</w:t>
      </w:r>
      <w:r>
        <w:rPr>
          <w:rFonts w:asciiTheme="majorBidi" w:hAnsiTheme="majorBidi" w:cstheme="majorBidi"/>
          <w:kern w:val="0"/>
          <w14:ligatures w14:val="none"/>
        </w:rPr>
        <w:fldChar w:fldCharType="end"/>
      </w:r>
      <w:r>
        <w:rPr>
          <w:rFonts w:asciiTheme="majorBidi" w:hAnsiTheme="majorBidi" w:cstheme="majorBidi"/>
          <w:kern w:val="0"/>
          <w14:ligatures w14:val="none"/>
        </w:rPr>
        <w:t>. </w:t>
      </w:r>
    </w:p>
    <w:p w14:paraId="45B55B2B" w14:textId="3B9A7A96" w:rsidR="00C8026D" w:rsidRDefault="00545609"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Many studies</w:t>
      </w:r>
      <w:r w:rsidR="006F7614">
        <w:rPr>
          <w:rFonts w:asciiTheme="majorBidi" w:hAnsiTheme="majorBidi" w:cstheme="majorBidi"/>
          <w:kern w:val="0"/>
          <w14:ligatures w14:val="none"/>
        </w:rPr>
        <w:t xml:space="preserve"> ha</w:t>
      </w:r>
      <w:r>
        <w:rPr>
          <w:rFonts w:asciiTheme="majorBidi" w:hAnsiTheme="majorBidi" w:cstheme="majorBidi"/>
          <w:kern w:val="0"/>
          <w14:ligatures w14:val="none"/>
        </w:rPr>
        <w:t>ve</w:t>
      </w:r>
      <w:r w:rsidR="006F7614">
        <w:rPr>
          <w:rFonts w:asciiTheme="majorBidi" w:hAnsiTheme="majorBidi" w:cstheme="majorBidi"/>
          <w:kern w:val="0"/>
          <w14:ligatures w14:val="none"/>
        </w:rPr>
        <w:t xml:space="preserve"> shown that patients in hospitals experiencing ADRs experience increased morbidity and </w:t>
      </w:r>
      <w:r>
        <w:rPr>
          <w:rFonts w:asciiTheme="majorBidi" w:hAnsiTheme="majorBidi" w:cstheme="majorBidi"/>
          <w:kern w:val="0"/>
          <w14:ligatures w14:val="none"/>
        </w:rPr>
        <w:t xml:space="preserve">health </w:t>
      </w:r>
      <w:r w:rsidR="006F7614">
        <w:rPr>
          <w:rFonts w:asciiTheme="majorBidi" w:hAnsiTheme="majorBidi" w:cstheme="majorBidi"/>
          <w:kern w:val="0"/>
          <w14:ligatures w14:val="none"/>
        </w:rPr>
        <w:t xml:space="preserve">deterioration, </w:t>
      </w:r>
      <w:r>
        <w:rPr>
          <w:rFonts w:asciiTheme="majorBidi" w:hAnsiTheme="majorBidi" w:cstheme="majorBidi"/>
          <w:kern w:val="0"/>
          <w14:ligatures w14:val="none"/>
        </w:rPr>
        <w:t>which often leads to</w:t>
      </w:r>
      <w:r w:rsidR="006F7614">
        <w:rPr>
          <w:rFonts w:asciiTheme="majorBidi" w:hAnsiTheme="majorBidi" w:cstheme="majorBidi"/>
          <w:kern w:val="0"/>
          <w14:ligatures w14:val="none"/>
        </w:rPr>
        <w:t xml:space="preserve"> additional diagnostic tests and therapeutic interventions</w:t>
      </w:r>
      <w:r>
        <w:rPr>
          <w:rFonts w:asciiTheme="majorBidi" w:hAnsiTheme="majorBidi" w:cstheme="majorBidi"/>
          <w:kern w:val="0"/>
          <w14:ligatures w14:val="none"/>
        </w:rPr>
        <w:t xml:space="preserve">. In the event of severe </w:t>
      </w:r>
      <w:r w:rsidR="006F7614">
        <w:rPr>
          <w:rFonts w:asciiTheme="majorBidi" w:hAnsiTheme="majorBidi" w:cstheme="majorBidi"/>
          <w:kern w:val="0"/>
          <w14:ligatures w14:val="none"/>
        </w:rPr>
        <w:t>ADRs</w:t>
      </w:r>
      <w:r>
        <w:rPr>
          <w:rFonts w:asciiTheme="majorBidi" w:hAnsiTheme="majorBidi" w:cstheme="majorBidi"/>
          <w:kern w:val="0"/>
          <w14:ligatures w14:val="none"/>
        </w:rPr>
        <w:t>,</w:t>
      </w:r>
      <w:r w:rsidR="006F7614">
        <w:rPr>
          <w:rFonts w:asciiTheme="majorBidi" w:hAnsiTheme="majorBidi" w:cstheme="majorBidi"/>
          <w:kern w:val="0"/>
          <w14:ligatures w14:val="none"/>
        </w:rPr>
        <w:t xml:space="preserve"> </w:t>
      </w:r>
      <w:r>
        <w:rPr>
          <w:rFonts w:asciiTheme="majorBidi" w:hAnsiTheme="majorBidi" w:cstheme="majorBidi"/>
          <w:kern w:val="0"/>
          <w14:ligatures w14:val="none"/>
        </w:rPr>
        <w:t>there is</w:t>
      </w:r>
      <w:r w:rsidR="006F7614">
        <w:rPr>
          <w:rFonts w:asciiTheme="majorBidi" w:hAnsiTheme="majorBidi" w:cstheme="majorBidi"/>
          <w:kern w:val="0"/>
          <w14:ligatures w14:val="none"/>
        </w:rPr>
        <w:t xml:space="preserve"> increased mortality risk, particularly among the elderly and patients with multiple comorbidities (Suh et al., 2000; Laroche et al., 2025). Older adults are disproportionately affected by ADRs due to polypharmacy, age-related physiological changes, and </w:t>
      </w:r>
      <w:r>
        <w:rPr>
          <w:rFonts w:asciiTheme="majorBidi" w:hAnsiTheme="majorBidi" w:cstheme="majorBidi"/>
          <w:kern w:val="0"/>
          <w14:ligatures w14:val="none"/>
        </w:rPr>
        <w:t>co</w:t>
      </w:r>
      <w:r w:rsidR="006F7614">
        <w:rPr>
          <w:rFonts w:asciiTheme="majorBidi" w:hAnsiTheme="majorBidi" w:cstheme="majorBidi"/>
          <w:kern w:val="0"/>
          <w14:ligatures w14:val="none"/>
        </w:rPr>
        <w:t>morbidit</w:t>
      </w:r>
      <w:r>
        <w:rPr>
          <w:rFonts w:asciiTheme="majorBidi" w:hAnsiTheme="majorBidi" w:cstheme="majorBidi"/>
          <w:kern w:val="0"/>
          <w14:ligatures w14:val="none"/>
        </w:rPr>
        <w:t>ies</w:t>
      </w:r>
      <w:r w:rsidR="006F7614">
        <w:rPr>
          <w:rFonts w:asciiTheme="majorBidi" w:hAnsiTheme="majorBidi" w:cstheme="majorBidi"/>
          <w:kern w:val="0"/>
          <w14:ligatures w14:val="none"/>
        </w:rPr>
        <w:t>, making them a high-priority population for predictive risk</w:t>
      </w:r>
      <w:r>
        <w:rPr>
          <w:rFonts w:asciiTheme="majorBidi" w:hAnsiTheme="majorBidi" w:cstheme="majorBidi"/>
          <w:kern w:val="0"/>
          <w14:ligatures w14:val="none"/>
        </w:rPr>
        <w:t>-</w:t>
      </w:r>
      <w:r w:rsidR="006F7614">
        <w:rPr>
          <w:rFonts w:asciiTheme="majorBidi" w:hAnsiTheme="majorBidi" w:cstheme="majorBidi"/>
          <w:kern w:val="0"/>
          <w14:ligatures w14:val="none"/>
        </w:rPr>
        <w:t xml:space="preserve">stratification approaches </w:t>
      </w:r>
      <w:r w:rsidR="006F7614">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{"citationID":"sxYEfZYJ","properties":{"formattedCitation":"(Zazzara et al., 2021)","plainCitation":"(Zazzara et al., 2021)","noteIndex":0},"citationItems":[{"id":632,"uris":["http://zotero.org/users/13727123/items/TRK3HY8Q"],"itemData":{"id":632,"type":"article-journal","abstract":"Aim\nTo summarize the classification and occurrence of ADRs and identify risk factors and strategies to reduce and prevent ADRs in older adults.\n\nFindings\nIn frail, multimorbid older adults, who are often treated with polypharmacy, ADRs are frequently associated with health burden and hospitalization. Multiple age-related risk factors, including changes in pharmacokinetics, multimorbidity, polypharmacy, and frailty can increase the risk of ADRs, and different strategies have been suggested to prevent the onset of ADRs.\n\nMessage\nA multidimensional and holistic approach combining pharmaceutical interventions with a global evaluation of health needs and priorities can reduce the burden of ADRs in older adults.\n\nPurpose\nAdverse drug reactions (ADRs) represent a common and potentially preventable cause of unplanned hospitalization, increasing morbidity, mortality, and healthcare costs. We aimed to review the classification and occurrence of ADRs in the older population, discuss the role of age as a risk factor, and identify interventions to prevent ADRs.\n\nMethods\nWe performed a narrative scoping review of the literature to assess classification, occurrence, factors affecting ADRs, and possible strategies to identify and prevent ADRs.\n\nResults\nAdverse drug reactions (ADRs) are often classified as Type A and Type B reactions, based on dose and effect of the drugs and fatality of the reaction. More recently, other approaches have been proposed (i.e. Dose, Time and Susceptibility (DoTS) and EIDOS classifications). The frequency of ADRs varies depending on definitions, characteristics of the studied population, and settings. Their occurrence is often ascribed to commonly used drugs, including anticoagulants, antiplatelet agents, digoxin, insulin, and non-steroidal anti-inflammatory drugs. Age-related factors—changes in pharmacokinetics, multimorbidity, polypharmacy, and frailty—have been related to ADRs. Different approaches (i.e. medication review, software identifying potentially inappropriate prescription and drug interactions) have been suggested to prevent ADRs and proven to improve the quality of prescribing. However, consistent evidence on their effectiveness is still lacking. Few studies suggest that a comprehensive geriatric assessment, aimed at identifying individual risk factors, patients’ needs, treatment priorities, and strategies for therapy optimization, is key for reducing ADRs.\n\nConclusions\nAdverse drug reactions (ADRs) are a relevant health burden. The medical complexity that characterizes older patients requires a holistic approach to reduce the burden of ADRs in this population.","container-title":"European Geriatric Medicine","DOI":"10.1007/s41999-021-00481-9","ISSN":"1878-7649","issue":"3","journalAbbreviation":"Eur Geriatr Med","note":"PMID: 33738772\nPMCID: PMC8149349","page":"463-473","source":"PubMed Central","title":"Adverse drug reactions in older adults: a narrative review of the literature","title-short":"Adverse drug reactions in older adults","volume":"12","author":[{"family":"Zazzara","given":"Maria Beatrice"},{"family":"Palmer","given":"Katie"},{"family":"Vetrano","given":"Davide Liborio"},{"family":"Carfì","given":"Angelo"},{"family":"Onder","given":"Graziano"}],"issued":{"date-parts":[["2021"]]}}}],"schema":"https://github.com/citation-style-language/schema/raw/master/csl-citation.json"} </w:instrText>
      </w:r>
      <w:r w:rsidR="006F7614">
        <w:rPr>
          <w:rFonts w:asciiTheme="majorBidi" w:hAnsiTheme="majorBidi" w:cstheme="majorBidi"/>
          <w:kern w:val="0"/>
          <w14:ligatures w14:val="none"/>
        </w:rPr>
        <w:fldChar w:fldCharType="separate"/>
      </w:r>
      <w:r w:rsidR="006F7614">
        <w:rPr>
          <w:rFonts w:ascii="Times New Roman" w:hAnsi="Times New Roman" w:cs="Times New Roman"/>
          <w:kern w:val="0"/>
          <w14:ligatures w14:val="none"/>
        </w:rPr>
        <w:t>(Zazzara et al., 2021)</w:t>
      </w:r>
      <w:r w:rsidR="006F7614">
        <w:rPr>
          <w:rFonts w:asciiTheme="majorBidi" w:hAnsiTheme="majorBidi" w:cstheme="majorBidi"/>
          <w:kern w:val="0"/>
          <w14:ligatures w14:val="none"/>
        </w:rPr>
        <w:fldChar w:fldCharType="end"/>
      </w:r>
      <w:bookmarkStart w:id="0" w:name="OLE_LINK1"/>
    </w:p>
    <w:p w14:paraId="7BA0E8E7" w14:textId="05A75A47" w:rsidR="006F7614" w:rsidRPr="00C8026D" w:rsidRDefault="006F7614"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 xml:space="preserve">Older </w:t>
      </w:r>
      <w:r w:rsidR="00E43593">
        <w:rPr>
          <w:rFonts w:asciiTheme="majorBidi" w:hAnsiTheme="majorBidi" w:cstheme="majorBidi"/>
          <w:kern w:val="0"/>
          <w14:ligatures w14:val="none"/>
        </w:rPr>
        <w:t>patients</w:t>
      </w:r>
      <w:r>
        <w:rPr>
          <w:rFonts w:asciiTheme="majorBidi" w:hAnsiTheme="majorBidi" w:cstheme="majorBidi"/>
          <w:kern w:val="0"/>
          <w14:ligatures w14:val="none"/>
        </w:rPr>
        <w:t xml:space="preserve"> are more susceptible to </w:t>
      </w:r>
      <w:r w:rsidR="00E43593">
        <w:rPr>
          <w:rFonts w:asciiTheme="majorBidi" w:hAnsiTheme="majorBidi" w:cstheme="majorBidi"/>
          <w:kern w:val="0"/>
          <w14:ligatures w14:val="none"/>
        </w:rPr>
        <w:t xml:space="preserve">ADRs </w:t>
      </w:r>
      <w:r>
        <w:rPr>
          <w:rFonts w:asciiTheme="majorBidi" w:hAnsiTheme="majorBidi" w:cstheme="majorBidi"/>
          <w:kern w:val="0"/>
          <w14:ligatures w14:val="none"/>
        </w:rPr>
        <w:t xml:space="preserve">due to age-related changes in </w:t>
      </w:r>
      <w:r w:rsidR="00C8026D">
        <w:rPr>
          <w:rFonts w:asciiTheme="majorBidi" w:hAnsiTheme="majorBidi" w:cstheme="majorBidi"/>
          <w:kern w:val="0"/>
          <w14:ligatures w14:val="none"/>
        </w:rPr>
        <w:t xml:space="preserve">their </w:t>
      </w:r>
      <w:r>
        <w:rPr>
          <w:rFonts w:asciiTheme="majorBidi" w:hAnsiTheme="majorBidi" w:cstheme="majorBidi"/>
          <w:kern w:val="0"/>
          <w14:ligatures w14:val="none"/>
        </w:rPr>
        <w:t xml:space="preserve">pharmacokinetics and pharmacodynamics. </w:t>
      </w:r>
      <w:r w:rsidR="00C8026D">
        <w:rPr>
          <w:rFonts w:asciiTheme="majorBidi" w:hAnsiTheme="majorBidi" w:cstheme="majorBidi"/>
          <w:kern w:val="0"/>
          <w14:ligatures w14:val="none"/>
        </w:rPr>
        <w:t xml:space="preserve">This can stem from their </w:t>
      </w:r>
      <w:r w:rsidR="00E43593">
        <w:rPr>
          <w:rFonts w:asciiTheme="majorBidi" w:hAnsiTheme="majorBidi" w:cstheme="majorBidi"/>
          <w:kern w:val="0"/>
          <w14:ligatures w14:val="none"/>
        </w:rPr>
        <w:t>reduced</w:t>
      </w:r>
      <w:r>
        <w:rPr>
          <w:rFonts w:asciiTheme="majorBidi" w:hAnsiTheme="majorBidi" w:cstheme="majorBidi"/>
          <w:kern w:val="0"/>
          <w14:ligatures w14:val="none"/>
        </w:rPr>
        <w:t xml:space="preserve"> renal function</w:t>
      </w:r>
      <w:r w:rsidR="00C8026D">
        <w:rPr>
          <w:rFonts w:asciiTheme="majorBidi" w:hAnsiTheme="majorBidi" w:cstheme="majorBidi"/>
          <w:kern w:val="0"/>
          <w14:ligatures w14:val="none"/>
        </w:rPr>
        <w:t>,</w:t>
      </w:r>
      <w:r>
        <w:rPr>
          <w:rFonts w:asciiTheme="majorBidi" w:hAnsiTheme="majorBidi" w:cstheme="majorBidi"/>
          <w:kern w:val="0"/>
          <w14:ligatures w14:val="none"/>
        </w:rPr>
        <w:t xml:space="preserve"> </w:t>
      </w:r>
      <w:r w:rsidR="00C8026D">
        <w:rPr>
          <w:rFonts w:asciiTheme="majorBidi" w:hAnsiTheme="majorBidi" w:cstheme="majorBidi"/>
          <w:kern w:val="0"/>
          <w14:ligatures w14:val="none"/>
        </w:rPr>
        <w:t xml:space="preserve">which </w:t>
      </w:r>
      <w:r w:rsidR="00E43593">
        <w:rPr>
          <w:rFonts w:asciiTheme="majorBidi" w:hAnsiTheme="majorBidi" w:cstheme="majorBidi"/>
          <w:kern w:val="0"/>
          <w14:ligatures w14:val="none"/>
        </w:rPr>
        <w:t>decreases</w:t>
      </w:r>
      <w:r>
        <w:rPr>
          <w:rFonts w:asciiTheme="majorBidi" w:hAnsiTheme="majorBidi" w:cstheme="majorBidi"/>
          <w:kern w:val="0"/>
          <w14:ligatures w14:val="none"/>
        </w:rPr>
        <w:t xml:space="preserve"> drug clearance and </w:t>
      </w:r>
      <w:r w:rsidR="00E43593">
        <w:rPr>
          <w:rFonts w:asciiTheme="majorBidi" w:hAnsiTheme="majorBidi" w:cstheme="majorBidi"/>
          <w:kern w:val="0"/>
          <w14:ligatures w14:val="none"/>
        </w:rPr>
        <w:t>leads to</w:t>
      </w:r>
      <w:r>
        <w:rPr>
          <w:rFonts w:asciiTheme="majorBidi" w:hAnsiTheme="majorBidi" w:cstheme="majorBidi"/>
          <w:kern w:val="0"/>
          <w14:ligatures w14:val="none"/>
        </w:rPr>
        <w:t xml:space="preserve"> the risk of accumulation and toxicity</w:t>
      </w:r>
      <w:r w:rsidR="00C8026D">
        <w:rPr>
          <w:rFonts w:asciiTheme="majorBidi" w:hAnsiTheme="majorBidi" w:cstheme="majorBidi"/>
          <w:kern w:val="0"/>
          <w14:ligatures w14:val="none"/>
        </w:rPr>
        <w:t xml:space="preserve"> of the drug within their body</w:t>
      </w:r>
      <w:r>
        <w:rPr>
          <w:rFonts w:asciiTheme="majorBidi" w:hAnsiTheme="majorBidi" w:cstheme="majorBidi"/>
          <w:kern w:val="0"/>
          <w14:ligatures w14:val="none"/>
        </w:rPr>
        <w:t>,</w:t>
      </w:r>
      <w:r w:rsidR="00C8026D">
        <w:rPr>
          <w:rFonts w:asciiTheme="majorBidi" w:hAnsiTheme="majorBidi" w:cstheme="majorBidi"/>
          <w:kern w:val="0"/>
          <w14:ligatures w14:val="none"/>
        </w:rPr>
        <w:t xml:space="preserve"> at the same time,</w:t>
      </w:r>
      <w:r>
        <w:rPr>
          <w:rFonts w:asciiTheme="majorBidi" w:hAnsiTheme="majorBidi" w:cstheme="majorBidi"/>
          <w:kern w:val="0"/>
          <w14:ligatures w14:val="none"/>
        </w:rPr>
        <w:t xml:space="preserve"> impaired physiological homeostasis can exaggerate drug responses and limit compensatory mechanisms, </w:t>
      </w:r>
      <w:r w:rsidR="00C8026D">
        <w:rPr>
          <w:rFonts w:asciiTheme="majorBidi" w:hAnsiTheme="majorBidi" w:cstheme="majorBidi"/>
          <w:kern w:val="0"/>
          <w14:ligatures w14:val="none"/>
        </w:rPr>
        <w:t>worsening side effects like that of postural hypotension</w:t>
      </w:r>
      <w:r>
        <w:rPr>
          <w:rFonts w:asciiTheme="majorBidi" w:hAnsiTheme="majorBidi" w:cstheme="majorBidi"/>
          <w:kern w:val="0"/>
          <w14:ligatures w14:val="none"/>
        </w:rPr>
        <w:t xml:space="preserve"> (Bellanca et al., 2023; Laville et al., 2024; Osanlou et al., 2022b). </w:t>
      </w:r>
      <w:r w:rsidR="00C8026D">
        <w:rPr>
          <w:rFonts w:asciiTheme="majorBidi" w:hAnsiTheme="majorBidi" w:cstheme="majorBidi"/>
          <w:kern w:val="0"/>
          <w14:ligatures w14:val="none"/>
        </w:rPr>
        <w:t>In addition, p</w:t>
      </w:r>
      <w:r>
        <w:rPr>
          <w:rFonts w:asciiTheme="majorBidi" w:hAnsiTheme="majorBidi" w:cstheme="majorBidi"/>
          <w:kern w:val="0"/>
          <w14:ligatures w14:val="none"/>
        </w:rPr>
        <w:t xml:space="preserve">olypharmacy increases the risk of ADRs </w:t>
      </w:r>
      <w:r w:rsidR="00C8026D">
        <w:rPr>
          <w:rFonts w:asciiTheme="majorBidi" w:hAnsiTheme="majorBidi" w:cstheme="majorBidi"/>
          <w:kern w:val="0"/>
          <w14:ligatures w14:val="none"/>
        </w:rPr>
        <w:t>when the</w:t>
      </w:r>
      <w:r>
        <w:rPr>
          <w:rFonts w:asciiTheme="majorBidi" w:hAnsiTheme="majorBidi" w:cstheme="majorBidi"/>
          <w:kern w:val="0"/>
          <w14:ligatures w14:val="none"/>
        </w:rPr>
        <w:t xml:space="preserve"> number of medications used together </w:t>
      </w:r>
      <w:r w:rsidR="00C8026D">
        <w:rPr>
          <w:rFonts w:asciiTheme="majorBidi" w:hAnsiTheme="majorBidi" w:cstheme="majorBidi"/>
          <w:kern w:val="0"/>
          <w14:ligatures w14:val="none"/>
        </w:rPr>
        <w:t>increases</w:t>
      </w:r>
      <w:r>
        <w:rPr>
          <w:rFonts w:asciiTheme="majorBidi" w:hAnsiTheme="majorBidi" w:cstheme="majorBidi"/>
          <w:kern w:val="0"/>
          <w14:ligatures w14:val="none"/>
        </w:rPr>
        <w:t xml:space="preserve">, </w:t>
      </w:r>
      <w:r w:rsidR="00C8026D">
        <w:rPr>
          <w:rFonts w:asciiTheme="majorBidi" w:hAnsiTheme="majorBidi" w:cstheme="majorBidi"/>
          <w:kern w:val="0"/>
          <w14:ligatures w14:val="none"/>
        </w:rPr>
        <w:t xml:space="preserve">causing an increase in </w:t>
      </w:r>
      <w:r>
        <w:rPr>
          <w:rFonts w:asciiTheme="majorBidi" w:hAnsiTheme="majorBidi" w:cstheme="majorBidi"/>
          <w:kern w:val="0"/>
          <w14:ligatures w14:val="none"/>
        </w:rPr>
        <w:t>drug-drug interactions (DDIs)</w:t>
      </w:r>
      <w:r w:rsidR="00C8026D">
        <w:rPr>
          <w:rFonts w:asciiTheme="majorBidi" w:hAnsiTheme="majorBidi" w:cstheme="majorBidi"/>
          <w:kern w:val="0"/>
          <w14:ligatures w14:val="none"/>
        </w:rPr>
        <w:t>, which</w:t>
      </w:r>
      <w:r>
        <w:rPr>
          <w:rFonts w:asciiTheme="majorBidi" w:hAnsiTheme="majorBidi" w:cstheme="majorBidi"/>
          <w:kern w:val="0"/>
          <w14:ligatures w14:val="none"/>
        </w:rPr>
        <w:t xml:space="preserve"> further heighten the potential for harmful effects when multiple drugs are combined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{"citationID":"SEu6gjsj","properties":{"formattedCitation":"(Westerink et al., 2023)","plainCitation":"(Westerink et al., 2023)","noteIndex":0},"citationItems":[{"id":590,"uris":["http://zotero.org/users/13727123/items/FMSH3ITT"],"itemData":{"id":590,"type":"article-journal","container-title":"Expert Opinion on Drug Safety","DOI":"10.1080/14740338.2023.2134344","ISSN":"1474-0338, 1744-764X","issue":"5","journalAbbreviation":"Expert Opinion on Drug Safety","language":"en","page":"417-424","source":"DOI.org (Crossref)","title":"Patients’ and health-care professionals’ perspectives on adverse drug reaction burden attributed to the use of biological DMARDs: a qualitative study","title-short":"Patients’ and health-care professionals’ perspectives on adverse drug reaction burden attributed to the use of biological DMARDs","volume":"22","author":[{"family":"Westerink","given":"Henrike J."},{"family":"Kosse","given":"Leanne J."},{"family":"Jessurun","given":"Naomi T."},{"family":"Tubergen","given":"Astrid Van"},{"family":"Vonkeman","given":"Harald E."},{"family":"Nurmohamed","given":"Mike T."},{"family":"Van Den Bemt","given":"Bart J.F."},{"family":"De Vries","given":"Marieke"}],"issued":{"date-parts":[["2023",5,4]]}}}],"schema":"https://github.com/citation-style-language/schema/raw/master/csl-citation.json"}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(Westerink et al., 2023)</w:t>
      </w:r>
      <w:r>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w:t>
      </w:r>
      <w:r w:rsidR="002F5785">
        <w:rPr>
          <w:rFonts w:asciiTheme="majorBidi" w:hAnsiTheme="majorBidi" w:cstheme="majorBidi"/>
          <w:kern w:val="0"/>
          <w14:ligatures w14:val="none"/>
        </w:rPr>
        <w:t xml:space="preserve">This can also be seen </w:t>
      </w:r>
      <w:r w:rsidR="00C8026D">
        <w:rPr>
          <w:rFonts w:asciiTheme="majorBidi" w:hAnsiTheme="majorBidi" w:cstheme="majorBidi"/>
          <w:kern w:val="0"/>
          <w14:ligatures w14:val="none"/>
        </w:rPr>
        <w:t xml:space="preserve">in </w:t>
      </w:r>
      <w:r>
        <w:rPr>
          <w:rFonts w:asciiTheme="majorBidi" w:hAnsiTheme="majorBidi" w:cstheme="majorBidi"/>
          <w:kern w:val="0"/>
          <w14:ligatures w14:val="none"/>
        </w:rPr>
        <w:t>medication changes during hospitalisation</w:t>
      </w:r>
      <w:r w:rsidR="00CB0610">
        <w:rPr>
          <w:rFonts w:asciiTheme="majorBidi" w:hAnsiTheme="majorBidi" w:cstheme="majorBidi"/>
          <w:kern w:val="0"/>
          <w14:ligatures w14:val="none"/>
        </w:rPr>
        <w:t>,</w:t>
      </w:r>
      <w:r w:rsidR="002F5785">
        <w:rPr>
          <w:rFonts w:asciiTheme="majorBidi" w:hAnsiTheme="majorBidi" w:cstheme="majorBidi"/>
          <w:kern w:val="0"/>
          <w14:ligatures w14:val="none"/>
        </w:rPr>
        <w:t xml:space="preserve"> </w:t>
      </w:r>
      <w:r w:rsidR="00CB0610">
        <w:rPr>
          <w:rFonts w:asciiTheme="majorBidi" w:hAnsiTheme="majorBidi" w:cstheme="majorBidi"/>
          <w:kern w:val="0"/>
          <w14:ligatures w14:val="none"/>
        </w:rPr>
        <w:t>which add to</w:t>
      </w:r>
      <w:r w:rsidR="002F5785">
        <w:rPr>
          <w:rFonts w:asciiTheme="majorBidi" w:hAnsiTheme="majorBidi" w:cstheme="majorBidi"/>
          <w:kern w:val="0"/>
          <w14:ligatures w14:val="none"/>
        </w:rPr>
        <w:t xml:space="preserve"> the risk of ADRs</w:t>
      </w:r>
      <w:r>
        <w:rPr>
          <w:rFonts w:asciiTheme="majorBidi" w:hAnsiTheme="majorBidi" w:cstheme="majorBidi"/>
          <w:kern w:val="0"/>
          <w14:ligatures w14:val="none"/>
        </w:rPr>
        <w:t xml:space="preserve"> </w:t>
      </w:r>
      <w:r w:rsidR="00CB0610">
        <w:rPr>
          <w:rFonts w:asciiTheme="majorBidi" w:hAnsiTheme="majorBidi" w:cstheme="majorBidi"/>
          <w:kern w:val="0"/>
          <w14:ligatures w14:val="none"/>
        </w:rPr>
        <w:t>and</w:t>
      </w:r>
      <w:r w:rsidR="002F5785">
        <w:rPr>
          <w:rFonts w:asciiTheme="majorBidi" w:hAnsiTheme="majorBidi" w:cstheme="majorBidi"/>
          <w:kern w:val="0"/>
          <w14:ligatures w14:val="none"/>
        </w:rPr>
        <w:t xml:space="preserve"> complicat</w:t>
      </w:r>
      <w:r w:rsidR="00CB0610">
        <w:rPr>
          <w:rFonts w:asciiTheme="majorBidi" w:hAnsiTheme="majorBidi" w:cstheme="majorBidi"/>
          <w:kern w:val="0"/>
          <w14:ligatures w14:val="none"/>
        </w:rPr>
        <w:t>e</w:t>
      </w:r>
      <w:r w:rsidR="002F5785">
        <w:rPr>
          <w:rFonts w:asciiTheme="majorBidi" w:hAnsiTheme="majorBidi" w:cstheme="majorBidi"/>
          <w:kern w:val="0"/>
          <w14:ligatures w14:val="none"/>
        </w:rPr>
        <w:t xml:space="preserve"> prescribing and monitoring</w:t>
      </w:r>
      <w:r>
        <w:rPr>
          <w:rFonts w:asciiTheme="majorBidi" w:hAnsiTheme="majorBidi" w:cstheme="majorBidi"/>
          <w:kern w:val="0"/>
          <w14:ligatures w14:val="none"/>
        </w:rPr>
        <w:t xml:space="preserve">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{"citationID":"aVbPTlvh","properties":{"formattedCitation":"(Karuppannan et al., 2022)","plainCitation":"(Karuppannan et al., 2022)","noteIndex":0},"citationItems":[{"id":580,"uris":["http://zotero.org/users/13727123/items/KLYXJ2EU"],"itemData":{"id":580,"type":"article-journal","abstract":"Adverse drug reaction (ADR) is one of the leading public health concerns associated with high mortality rate. Healthcare professionals, particularly pharmacists, have a significant role in monitoring and preventing ADRs. This study was conducted on Malaysian Pharmaceutical Society (MPS) pharmacists who worked at the hospitals, health clinics, and community pharmacies to determine if pharmacists’ experiences on ADRs are still the same 10 years later. In 2010, a postal survey and in 2020, an online survey were conducted among these pharmacists. A total of 472 pharmacists and 208 participated in 2010 and 2020, respectively. About 82% and 90% of hospital/health clinic pharmacists (HCPs) observed an ADR over the last 6 months in 2010 and 2020, while 60% and 100% community pharmacists in 2010 and 2020 observed an ADR, respectively. Perindopril was the top drug (HCPs:\n              p\n              = 0.657; CPs:\n              p\n              = 0.98), and rash was the top ADR reported by the pharmacists in both years (HCPs:\n              p\n              &amp;lt; 0.001; CPs:\n              p\n              = 0.679). The most common actions taken by HCPs in 2010 were to report the ADR (\n              p\n              = 0.343), while in 2020, most HCPs explained to patients regarding the reaction (\n              p\n              = 0.061), which was also the same in the CP group in 2020 (\n              p\n              = 0.958). The top factor encouraging ADR reporting in both years and both pharmacist groups was the high degree of severity of the reaction (HCPs:\n              p\n              &amp;lt; 0.001; CPs:\n              p\n              = 0.769). While the top factors discouraging ADR reporting were a lack of information from the affected patients (HCPs:\n              p\n              = 0.2; CPs:\n              p\n              = 0.656), reaction is widely known (HCPs:\n              p\n              = 0.001; CPs:\n              p\n              = 0.144) and uncertainty of the causal relationship (HCPs:\n              p\n              = 0.169; CPs:\n              p\n              = 0.609). Majority of the pharmacists agreed that severe reactions should be reported (HCPs:\n              p\n              = 0.158; CPs:\n              p\n              = 0.501) and the main aim for reporting is to measure the incidence of ADRs (HCPs:\n              p\n              = 0.148; CPs:\n              p\n              = 0.762). Despite being able to identify ADRs during the daily practice, many pharmacists especially community pharmacists are not reporting them. There is a misconception on the purpose of reporting ADRs. An interventional program and ADR reporting training would be a useful step in improving ADR reporting practice.","container-title":"Frontiers in Pharmacology","DOI":"10.3389/fphar.2022.932942","ISSN":"1663-9812","journalAbbreviation":"Front. Pharmacol.","page":"932942","source":"DOI.org (Crossref)","title":"Pharmacists’ experiences on adverse drug reaction: 10 years later","title-short":"Pharmacists’ experiences on adverse drug reaction","volume":"13","author":[{"family":"Karuppannan","given":"Mahmathi"},{"family":"Mohamad Rizal","given":"Nur Azzrin Nisha"},{"family":"Wong","given":"Kok-Thong"},{"family":"Mohd. Ali","given":"Salmiah"},{"family":"Ting","given":"Kang-Nee"},{"family":"Boardman","given":"Helen"}],"issued":{"date-parts":[["2022",9,29]]}}}],"schema":"https://github.com/citation-style-language/schema/raw/master/csl-citation.json"}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(Karuppannan et al., 2022)</w:t>
      </w:r>
      <w:r>
        <w:rPr>
          <w:rFonts w:asciiTheme="majorBidi" w:hAnsiTheme="majorBidi" w:cstheme="majorBidi"/>
          <w:kern w:val="0"/>
          <w14:ligatures w14:val="none"/>
        </w:rPr>
        <w:fldChar w:fldCharType="end"/>
      </w:r>
      <w:r>
        <w:rPr>
          <w:rFonts w:asciiTheme="majorBidi" w:hAnsiTheme="majorBidi" w:cstheme="majorBidi"/>
          <w:kern w:val="0"/>
          <w14:ligatures w14:val="none"/>
        </w:rPr>
        <w:t>.</w:t>
      </w:r>
    </w:p>
    <w:bookmarkEnd w:id="0"/>
    <w:p w14:paraId="6713CF6A" w14:textId="18AFABE0" w:rsidR="006F7614" w:rsidRPr="00F93DAD" w:rsidRDefault="00CB0610" w:rsidP="006F7614">
      <w:pPr>
        <w:spacing w:line="360" w:lineRule="auto"/>
        <w:rPr>
          <w:rFonts w:asciiTheme="majorBidi" w:hAnsiTheme="majorBidi" w:cstheme="majorBidi"/>
        </w:rPr>
      </w:pPr>
      <w:r>
        <w:rPr>
          <w:rFonts w:asciiTheme="majorBidi" w:hAnsiTheme="majorBidi" w:cstheme="majorBidi"/>
          <w:kern w:val="0"/>
          <w14:ligatures w14:val="none"/>
        </w:rPr>
        <w:t xml:space="preserve">When it comes to healthcare-related costs, </w:t>
      </w:r>
      <w:r w:rsidR="006F7614">
        <w:rPr>
          <w:rFonts w:asciiTheme="majorBidi" w:hAnsiTheme="majorBidi" w:cstheme="majorBidi"/>
          <w:kern w:val="0"/>
          <w14:ligatures w14:val="none"/>
        </w:rPr>
        <w:t xml:space="preserve">ADR-related costs are </w:t>
      </w:r>
      <w:r w:rsidR="002F5785">
        <w:rPr>
          <w:rFonts w:asciiTheme="majorBidi" w:hAnsiTheme="majorBidi" w:cstheme="majorBidi"/>
          <w:kern w:val="0"/>
          <w14:ligatures w14:val="none"/>
        </w:rPr>
        <w:t>high</w:t>
      </w:r>
      <w:r w:rsidR="006F7614">
        <w:rPr>
          <w:rFonts w:asciiTheme="majorBidi" w:hAnsiTheme="majorBidi" w:cstheme="majorBidi"/>
          <w:kern w:val="0"/>
          <w14:ligatures w14:val="none"/>
        </w:rPr>
        <w:t xml:space="preserve">, </w:t>
      </w:r>
      <w:r w:rsidR="002F5785">
        <w:rPr>
          <w:rFonts w:asciiTheme="majorBidi" w:hAnsiTheme="majorBidi" w:cstheme="majorBidi"/>
          <w:kern w:val="0"/>
          <w14:ligatures w14:val="none"/>
        </w:rPr>
        <w:t>s</w:t>
      </w:r>
      <w:r>
        <w:rPr>
          <w:rFonts w:asciiTheme="majorBidi" w:hAnsiTheme="majorBidi" w:cstheme="majorBidi"/>
          <w:kern w:val="0"/>
          <w14:ligatures w14:val="none"/>
        </w:rPr>
        <w:t>temming from</w:t>
      </w:r>
      <w:r w:rsidR="006F7614">
        <w:rPr>
          <w:rFonts w:asciiTheme="majorBidi" w:hAnsiTheme="majorBidi" w:cstheme="majorBidi"/>
          <w:kern w:val="0"/>
          <w14:ligatures w14:val="none"/>
        </w:rPr>
        <w:t xml:space="preserve"> extended bed occupancy, additional investigations, and escalated care</w:t>
      </w:r>
      <w:r w:rsidR="002F5785">
        <w:rPr>
          <w:rFonts w:asciiTheme="majorBidi" w:hAnsiTheme="majorBidi" w:cstheme="majorBidi"/>
          <w:kern w:val="0"/>
          <w14:ligatures w14:val="none"/>
        </w:rPr>
        <w:t xml:space="preserve"> levels</w:t>
      </w:r>
      <w:r>
        <w:rPr>
          <w:rFonts w:asciiTheme="majorBidi" w:hAnsiTheme="majorBidi" w:cstheme="majorBidi"/>
          <w:kern w:val="0"/>
          <w14:ligatures w14:val="none"/>
        </w:rPr>
        <w:t xml:space="preserve">. As previously mentioned, ADRs </w:t>
      </w:r>
      <w:r w:rsidR="002F5785">
        <w:rPr>
          <w:rFonts w:asciiTheme="majorBidi" w:hAnsiTheme="majorBidi" w:cstheme="majorBidi"/>
          <w:kern w:val="0"/>
          <w14:ligatures w14:val="none"/>
        </w:rPr>
        <w:t xml:space="preserve">lead to </w:t>
      </w:r>
      <w:r w:rsidR="006F7614">
        <w:rPr>
          <w:rFonts w:asciiTheme="majorBidi" w:hAnsiTheme="majorBidi" w:cstheme="majorBidi"/>
          <w:kern w:val="0"/>
          <w14:ligatures w14:val="none"/>
        </w:rPr>
        <w:t>increased patient harm</w:t>
      </w:r>
      <w:r>
        <w:rPr>
          <w:rFonts w:asciiTheme="majorBidi" w:hAnsiTheme="majorBidi" w:cstheme="majorBidi"/>
          <w:kern w:val="0"/>
          <w14:ligatures w14:val="none"/>
        </w:rPr>
        <w:t xml:space="preserve"> but also </w:t>
      </w:r>
      <w:r w:rsidR="006F7614">
        <w:rPr>
          <w:rFonts w:asciiTheme="majorBidi" w:hAnsiTheme="majorBidi" w:cstheme="majorBidi"/>
          <w:kern w:val="0"/>
          <w14:ligatures w14:val="none"/>
        </w:rPr>
        <w:t>longer hospital stays and higher expenses, often driven by</w:t>
      </w:r>
      <w:r>
        <w:rPr>
          <w:rFonts w:asciiTheme="majorBidi" w:hAnsiTheme="majorBidi" w:cstheme="majorBidi"/>
          <w:kern w:val="0"/>
          <w14:ligatures w14:val="none"/>
        </w:rPr>
        <w:t xml:space="preserve"> preventable</w:t>
      </w:r>
      <w:r w:rsidR="006F7614">
        <w:rPr>
          <w:rFonts w:asciiTheme="majorBidi" w:hAnsiTheme="majorBidi" w:cstheme="majorBidi"/>
          <w:kern w:val="0"/>
          <w14:ligatures w14:val="none"/>
        </w:rPr>
        <w:t xml:space="preserve"> </w:t>
      </w:r>
      <w:r>
        <w:rPr>
          <w:rFonts w:asciiTheme="majorBidi" w:hAnsiTheme="majorBidi" w:cstheme="majorBidi"/>
          <w:kern w:val="0"/>
          <w14:ligatures w14:val="none"/>
        </w:rPr>
        <w:t xml:space="preserve">use of </w:t>
      </w:r>
      <w:r w:rsidR="006F7614">
        <w:rPr>
          <w:rFonts w:asciiTheme="majorBidi" w:hAnsiTheme="majorBidi" w:cstheme="majorBidi"/>
          <w:kern w:val="0"/>
          <w14:ligatures w14:val="none"/>
        </w:rPr>
        <w:t xml:space="preserve">antibiotics </w:t>
      </w:r>
      <w:r>
        <w:rPr>
          <w:rFonts w:asciiTheme="majorBidi" w:hAnsiTheme="majorBidi" w:cstheme="majorBidi"/>
          <w:kern w:val="0"/>
          <w14:ligatures w14:val="none"/>
        </w:rPr>
        <w:t xml:space="preserve">or </w:t>
      </w:r>
      <w:r w:rsidR="006F7614">
        <w:rPr>
          <w:rFonts w:asciiTheme="majorBidi" w:hAnsiTheme="majorBidi" w:cstheme="majorBidi"/>
          <w:kern w:val="0"/>
          <w14:ligatures w14:val="none"/>
        </w:rPr>
        <w:t xml:space="preserve">cardiovascular drugs </w:t>
      </w:r>
      <w:r w:rsidR="006F7614">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{"citationID":"YiFQGQHy","properties":{"formattedCitation":"(Suh et al., 2000)","plainCitation":"(Suh et al., 2000)","noteIndex":0},"citationItems":[{"id":585,"uris":["http://zotero.org/users/13727123/items/LYLWE4A2"],"itemData":{"id":585,"type":"article-journal","abstract":"OBJECTIVE: To identify the classes of drugs that most commonly cause adverse drug reactions (ADRs) and the characteristics of these ADRs and to determine the economic impact of ADRs on patients' length of stay and hospitalization costs.\nMETHODS: Data on ADRs from patients admitted to a hospital in New Jersey were collected, studied, and analyzed over a five-month period. To determine the economic impact of ADRs, patients who experienced ADRs during hospitalization were matched to controls. Each ADR was rated with regard to its severity, the patients' outcomes were determined, and specific classes of medications were identified as particularly causative of ADRs.\nRESULTS: A total of 196 patients experienced ADRs; 131 of these individuals were matched with 1338 patients who did not experience an ADR, based on their diagnosis-related group code. The leading causal drugs according to therapeutic class were antiinfective (17%), cardiovascular (17%), antineoplastic (15%), and analgesics/antiinflammatory agents (15%). The organ systems most often affected were gastrointestinal (24%), dermatologic (19%), and immune systems (15%). The mean length of stay per patient differed significantly between the ADR case group and matched control group (10.6 vs. 6.8 d; p = 0.003), as did the total hospitalization cost ($22775 vs. $17292; p = 0.025).\nCONCLUSIONS: Length of hospital stay and total hospitalization costs were significantly higher for patients experiencing ADRs than those who did not experience ADRs. ADR reporting systems in hospitals need to be changed and strengthened to decrease the incidence of avoidable reactions.","container-title":"The Annals of Pharmacotherapy","DOI":"10.1345/aph.10094","ISSN":"1060-0280","issue":"12","journalAbbreviation":"Ann Pharmacother","language":"eng","note":"PMID: 11144691","page":"1373-1379","source":"PubMed","title":"Clinical and economic impact of adverse drug reactions in hospitalized patients","volume":"34","author":[{"family":"Suh","given":"D. C."},{"family":"Woodall","given":"B. S."},{"family":"Shin","given":"S. K."},{"family":"Hermes-De Santis","given":"E. R."}],"issued":{"date-parts":[["2000",12]]}}}],"schema":"https://github.com/citation-style-language/schema/raw/master/csl-citation.json"} </w:instrText>
      </w:r>
      <w:r w:rsidR="006F7614">
        <w:rPr>
          <w:rFonts w:asciiTheme="majorBidi" w:hAnsiTheme="majorBidi" w:cstheme="majorBidi"/>
          <w:kern w:val="0"/>
          <w14:ligatures w14:val="none"/>
        </w:rPr>
        <w:fldChar w:fldCharType="separate"/>
      </w:r>
      <w:r w:rsidR="006F7614">
        <w:rPr>
          <w:rFonts w:asciiTheme="majorBidi" w:hAnsiTheme="majorBidi" w:cstheme="majorBidi"/>
          <w:kern w:val="0"/>
          <w14:ligatures w14:val="none"/>
        </w:rPr>
        <w:t>(Suh et al., 2000)</w:t>
      </w:r>
      <w:r w:rsidR="006F7614">
        <w:rPr>
          <w:rFonts w:asciiTheme="majorBidi" w:hAnsiTheme="majorBidi" w:cstheme="majorBidi"/>
          <w:kern w:val="0"/>
          <w14:ligatures w14:val="none"/>
        </w:rPr>
        <w:fldChar w:fldCharType="end"/>
      </w:r>
      <w:r w:rsidR="006F7614">
        <w:rPr>
          <w:rFonts w:asciiTheme="majorBidi" w:hAnsiTheme="majorBidi" w:cstheme="majorBidi"/>
          <w:kern w:val="0"/>
          <w14:ligatures w14:val="none"/>
        </w:rPr>
        <w:t xml:space="preserve">. ADR-related hospitalisations strain public health systems worldwide </w:t>
      </w:r>
      <w:r>
        <w:rPr>
          <w:rFonts w:asciiTheme="majorBidi" w:hAnsiTheme="majorBidi" w:cstheme="majorBidi"/>
          <w:kern w:val="0"/>
          <w14:ligatures w14:val="none"/>
        </w:rPr>
        <w:t>because they cause</w:t>
      </w:r>
      <w:r w:rsidR="006F7614">
        <w:rPr>
          <w:rFonts w:asciiTheme="majorBidi" w:hAnsiTheme="majorBidi" w:cstheme="majorBidi"/>
          <w:kern w:val="0"/>
          <w14:ligatures w14:val="none"/>
        </w:rPr>
        <w:t xml:space="preserve"> inefficient resource use. Prevent</w:t>
      </w:r>
      <w:r>
        <w:rPr>
          <w:rFonts w:asciiTheme="majorBidi" w:hAnsiTheme="majorBidi" w:cstheme="majorBidi"/>
          <w:kern w:val="0"/>
          <w14:ligatures w14:val="none"/>
        </w:rPr>
        <w:t xml:space="preserve">ing </w:t>
      </w:r>
      <w:r w:rsidR="006F7614">
        <w:rPr>
          <w:rFonts w:asciiTheme="majorBidi" w:hAnsiTheme="majorBidi" w:cstheme="majorBidi"/>
          <w:kern w:val="0"/>
          <w14:ligatures w14:val="none"/>
        </w:rPr>
        <w:t>ADRs offer</w:t>
      </w:r>
      <w:r>
        <w:rPr>
          <w:rFonts w:asciiTheme="majorBidi" w:hAnsiTheme="majorBidi" w:cstheme="majorBidi"/>
          <w:kern w:val="0"/>
          <w14:ligatures w14:val="none"/>
        </w:rPr>
        <w:t>s</w:t>
      </w:r>
      <w:r w:rsidR="006F7614">
        <w:rPr>
          <w:rFonts w:asciiTheme="majorBidi" w:hAnsiTheme="majorBidi" w:cstheme="majorBidi"/>
          <w:kern w:val="0"/>
          <w14:ligatures w14:val="none"/>
        </w:rPr>
        <w:t xml:space="preserve"> a major opportunity for cost savings, </w:t>
      </w:r>
      <w:r w:rsidR="00E43593">
        <w:rPr>
          <w:rFonts w:asciiTheme="majorBidi" w:hAnsiTheme="majorBidi" w:cstheme="majorBidi"/>
          <w:kern w:val="0"/>
          <w14:ligatures w14:val="none"/>
        </w:rPr>
        <w:t>highlighting</w:t>
      </w:r>
      <w:r w:rsidR="006F7614">
        <w:rPr>
          <w:rFonts w:asciiTheme="majorBidi" w:hAnsiTheme="majorBidi" w:cstheme="majorBidi"/>
          <w:kern w:val="0"/>
          <w14:ligatures w14:val="none"/>
        </w:rPr>
        <w:t xml:space="preserve"> the </w:t>
      </w:r>
      <w:r w:rsidR="00E43593">
        <w:rPr>
          <w:rFonts w:asciiTheme="majorBidi" w:hAnsiTheme="majorBidi" w:cstheme="majorBidi"/>
          <w:kern w:val="0"/>
          <w14:ligatures w14:val="none"/>
        </w:rPr>
        <w:t>magnitude</w:t>
      </w:r>
      <w:r w:rsidR="006F7614">
        <w:rPr>
          <w:rFonts w:asciiTheme="majorBidi" w:hAnsiTheme="majorBidi" w:cstheme="majorBidi"/>
          <w:kern w:val="0"/>
          <w14:ligatures w14:val="none"/>
        </w:rPr>
        <w:t xml:space="preserve"> of early detection and </w:t>
      </w:r>
      <w:r w:rsidR="00846E30">
        <w:rPr>
          <w:rFonts w:asciiTheme="majorBidi" w:hAnsiTheme="majorBidi" w:cstheme="majorBidi"/>
          <w:kern w:val="0"/>
          <w14:ligatures w14:val="none"/>
        </w:rPr>
        <w:t>interference</w:t>
      </w:r>
      <w:r w:rsidR="006F7614">
        <w:rPr>
          <w:rFonts w:asciiTheme="majorBidi" w:hAnsiTheme="majorBidi" w:cstheme="majorBidi"/>
          <w:kern w:val="0"/>
          <w14:ligatures w14:val="none"/>
        </w:rPr>
        <w:t xml:space="preserve"> </w:t>
      </w:r>
      <w:r w:rsidR="006F7614">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{"citationID":"5eEjA4qk","properties":{"formattedCitation":"(Karuppannan et al., 2022, 2022)","plainCitation":"(Karuppannan et al., 2022, 2022)","dontUpdate":true,"noteIndex":0},"citationItems":[{"id":580,"uris":["http://zotero.org/users/13727123/items/KLYXJ2EU"],"itemData":{"id":580,"type":"article-journal","abstract":"Adverse drug reaction (ADR) is one of the leading public health concerns associated with high mortality rate. Healthcare professionals, particularly pharmacists, have a significant role in monitoring and preventing ADRs. This study was conducted on Malaysian Pharmaceutical Society (MPS) pharmacists who worked at the hospitals, health clinics, and community pharmacies to determine if pharmacists’ experiences on ADRs are still the same 10 years later. In 2010, a postal survey and in 2020, an online survey were conducted among these pharmacists. A total of 472 pharmacists and 208 participated in 2010 and 2020, respectively. About 82% and 90% of hospital/health clinic pharmacists (HCPs) observed an ADR over the last 6 months in 2010 and 2020, while 60% and 100% community pharmacists in 2010 and 2020 observed an ADR, respectively. Perindopril was the top drug (HCPs:\n              p\n              = 0.657; CPs:\n              p\n              = 0.98), and rash was the top ADR reported by the pharmacists in both years (HCPs:\n              p\n              &amp;lt; 0.001; CPs:\n              p\n              = 0.679). The most common actions taken by HCPs in 2010 were to report the ADR (\n              p\n              = 0.343), while in 2020, most HCPs explained to patients regarding the reaction (\n              p\n              = 0.061), which was also the same in the CP group in 2020 (\n              p\n              = 0.958). The top factor encouraging ADR reporting in both years and both pharmacist groups was the high degree of severity of the reaction (HCPs:\n              p\n              &amp;lt; 0.001; CPs:\n              p\n              = 0.769). While the top factors discouraging ADR reporting were a lack of information from the affected patients (HCPs:\n              p\n              = 0.2; CPs:\n              p\n              = 0.656), reaction is widely known (HCPs:\n              p\n              = 0.001; CPs:\n              p\n              = 0.144) and uncertainty of the causal relationship (HCPs:\n              p\n              = 0.169; CPs:\n              p\n              = 0.609). Majority of the pharmacists agreed that severe reactions should be reported (HCPs:\n              p\n              = 0.158; CPs:\n              p\n              = 0.501) and the main aim for reporting is to measure the incidence of ADRs (HCPs:\n              p\n              = 0.148; CPs:\n              p\n              = 0.762). Despite being able to identify ADRs during the daily practice, many pharmacists especially community pharmacists are not reporting them. There is a misconception on the purpose of reporting ADRs. An interventional program and ADR reporting training would be a useful step in improving ADR reporting practice.","container-title":"Frontiers in Pharmacology","DOI":"10.3389/fphar.2022.932942","ISSN":"1663-9812","journalAbbreviation":"Front. Pharmacol.","page":"932942","source":"DOI.org (Crossref)","title":"Pharmacists’ experiences on adverse drug reaction: 10 years later","title-short":"Pharmacists’ experiences on adverse drug reaction","volume":"13","author":[{"family":"Karuppannan","given":"Mahmathi"},{"family":"Mohamad Rizal","given":"Nur Azzrin Nisha"},{"family":"Wong","given":"Kok-Thong"},{"family":"Mohd. Ali","given":"Salmiah"},{"family":"Ting","given":"Kang-Nee"},{"family":"Boardman","given":"Helen"}],"issued":{"date-parts":[["2022",9,29]]}}},{"id":580,"uris":["http://zotero.org/users/13727123/items/KLYXJ2EU"],"itemData":{"id":580,"type":"article-journal","abstract":"Adverse drug reaction (ADR) is one of the leading public health concerns associated with high mortality rate. Healthcare professionals, particularly pharmacists, have a significant role in monitoring and preventing ADRs. This study was conducted on Malaysian Pharmaceutical Society (MPS) pharmacists who worked at the hospitals, health clinics, and community pharmacies to determine if pharmacists’ experiences on ADRs are still the same 10 years later. In 2010, a postal survey and in 2020, an online survey were conducted among these pharmacists. A total of 472 pharmacists and 208 participated in 2010 and 2020, respectively. About 82% and 90% of hospital/health clinic pharmacists (HCPs) observed an ADR over the last 6 months in 2010 and 2020, while 60% and 100% community pharmacists in 2010 and 2020 observed an ADR, respectively. Perindopril was the top drug (HCPs:\n              p\n              = 0.657; CPs:\n              p\n              = 0.98), and rash was the top ADR reported by the pharmacists in both years (HCPs:\n              p\n              &amp;lt; 0.001; CPs:\n              p\n              = 0.679). The most common actions taken by HCPs in 2010 were to report the ADR (\n              p\n              = 0.343), while in 2020, most HCPs explained to patients regarding the reaction (\n              p\n              = 0.061), which was also the same in the CP group in 2020 (\n              p\n              = 0.958). The top factor encouraging ADR reporting in both years and both pharmacist groups was the high degree of severity of the reaction (HCPs:\n              p\n              &amp;lt; 0.001; CPs:\n              p\n              = 0.769). While the top factors discouraging ADR reporting were a lack of information from the affected patients (HCPs:\n              p\n              = 0.2; CPs:\n              p\n              = 0.656), reaction is widely known (HCPs:\n              p\n              = 0.001; CPs:\n              p\n              = 0.144) and uncertainty of the causal relationship (HCPs:\n              p\n              = 0.169; CPs:\n              p\n              = 0.609). Majority of the pharmacists agreed that severe reactions should be reported (HCPs:\n              p\n              = 0.158; CPs:\n              p\n              = 0.501) and the main aim for reporting is to measure the incidence of ADRs (HCPs:\n              p\n              = 0.148; CPs:\n              p\n              = 0.762). Despite being able to identify ADRs during the daily practice, many pharmacists especially community pharmacists are not reporting them. There is a misconception on the purpose of reporting ADRs. An interventional program and ADR reporting training would be a useful step in improving ADR reporting practice.","container-title":"Frontiers in Pharmacology","DOI":"10.3389/fphar.2022.932942","ISSN":"1663-9812","journalAbbreviation":"Front. Pharmacol.","page":"932942","source":"DOI.org (Crossref)","title":"Pharmacists’ experiences on adverse drug reaction: 10 years later","title-short":"Pharmacists’ experiences on adverse drug reaction","volume":"13","author":[{"family":"Karuppannan","given":"Mahmathi"},{"family":"Mohamad Rizal","given":"Nur Azzrin Nisha"},{"family":"Wong","given":"Kok-Thong"},{"family":"Mohd. Ali","given":"Salmiah"},{"family":"Ting","given":"Kang-Nee"},{"family":"Boardman","given":"Helen"}],"issued":{"date-parts":[["2022",9,29]]}}}],"schema":"https://github.com/citation-style-language/schema/raw/master/csl-citation.json"} </w:instrText>
      </w:r>
      <w:r w:rsidR="006F7614">
        <w:rPr>
          <w:rFonts w:asciiTheme="majorBidi" w:hAnsiTheme="majorBidi" w:cstheme="majorBidi"/>
          <w:kern w:val="0"/>
          <w14:ligatures w14:val="none"/>
        </w:rPr>
        <w:fldChar w:fldCharType="separate"/>
      </w:r>
      <w:r w:rsidR="006F7614">
        <w:rPr>
          <w:rFonts w:asciiTheme="majorBidi" w:hAnsiTheme="majorBidi" w:cstheme="majorBidi"/>
          <w:kern w:val="0"/>
          <w14:ligatures w14:val="none"/>
        </w:rPr>
        <w:t>(Karuppannan et al., 2022)</w:t>
      </w:r>
      <w:r w:rsidR="006F7614">
        <w:rPr>
          <w:rFonts w:asciiTheme="majorBidi" w:hAnsiTheme="majorBidi" w:cstheme="majorBidi"/>
          <w:kern w:val="0"/>
          <w14:ligatures w14:val="none"/>
        </w:rPr>
        <w:fldChar w:fldCharType="end"/>
      </w:r>
      <w:r w:rsidR="006F7614">
        <w:rPr>
          <w:rFonts w:asciiTheme="majorBidi" w:hAnsiTheme="majorBidi" w:cstheme="majorBidi"/>
          <w:kern w:val="0"/>
          <w14:ligatures w14:val="none"/>
        </w:rPr>
        <w:t>.</w:t>
      </w:r>
    </w:p>
    <w:p w14:paraId="2C2ABE34" w14:textId="21A93B97" w:rsidR="006F7614" w:rsidRPr="00F93DAD" w:rsidRDefault="006F7614" w:rsidP="00824B2C">
      <w:pPr>
        <w:spacing w:line="360" w:lineRule="auto"/>
        <w:rPr>
          <w:rFonts w:asciiTheme="majorBidi" w:hAnsiTheme="majorBidi" w:cstheme="majorBidi"/>
        </w:rPr>
      </w:pPr>
      <w:r>
        <w:rPr>
          <w:rFonts w:asciiTheme="majorBidi" w:hAnsiTheme="majorBidi" w:cstheme="majorBidi"/>
          <w:kern w:val="0"/>
          <w14:ligatures w14:val="none"/>
        </w:rPr>
        <w:t>Many drugs have side effects</w:t>
      </w:r>
      <w:r w:rsidR="00CB0610">
        <w:rPr>
          <w:rFonts w:asciiTheme="majorBidi" w:hAnsiTheme="majorBidi" w:cstheme="majorBidi"/>
          <w:kern w:val="0"/>
          <w14:ligatures w14:val="none"/>
        </w:rPr>
        <w:t xml:space="preserve"> and DDIs</w:t>
      </w:r>
      <w:r>
        <w:rPr>
          <w:rFonts w:asciiTheme="majorBidi" w:hAnsiTheme="majorBidi" w:cstheme="majorBidi"/>
          <w:kern w:val="0"/>
          <w14:ligatures w14:val="none"/>
        </w:rPr>
        <w:t xml:space="preserve"> that</w:t>
      </w:r>
      <w:r w:rsidR="00CB0610">
        <w:rPr>
          <w:rFonts w:asciiTheme="majorBidi" w:hAnsiTheme="majorBidi" w:cstheme="majorBidi"/>
          <w:kern w:val="0"/>
          <w14:ligatures w14:val="none"/>
        </w:rPr>
        <w:t xml:space="preserve"> can</w:t>
      </w:r>
      <w:r>
        <w:rPr>
          <w:rFonts w:asciiTheme="majorBidi" w:hAnsiTheme="majorBidi" w:cstheme="majorBidi"/>
          <w:kern w:val="0"/>
          <w14:ligatures w14:val="none"/>
        </w:rPr>
        <w:t xml:space="preserve"> range from mild to severe, and these can be influenced by multiple factors, </w:t>
      </w:r>
      <w:r w:rsidR="00CB0610">
        <w:rPr>
          <w:rFonts w:asciiTheme="majorBidi" w:hAnsiTheme="majorBidi" w:cstheme="majorBidi"/>
          <w:kern w:val="0"/>
          <w14:ligatures w14:val="none"/>
        </w:rPr>
        <w:t>making it</w:t>
      </w:r>
      <w:r>
        <w:rPr>
          <w:rFonts w:asciiTheme="majorBidi" w:hAnsiTheme="majorBidi" w:cstheme="majorBidi"/>
          <w:kern w:val="0"/>
          <w14:ligatures w14:val="none"/>
        </w:rPr>
        <w:t xml:space="preserve"> complex to assess with the naked eye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{"citationID":"3lglyQ7A","properties":{"formattedCitation":"(Quik et al., 2025)","plainCitation":"(Quik et al., 2025)","noteIndex":0},"citationItems":[{"id":593,"uris":["http://zotero.org/users/13727123/items/JUCSYR8Q"],"itemData":{"id":593,"type":"article-journal","container-title":"Expert Opinion on Drug Safety","DOI":"10.1080/14740338.2024.2383707","ISSN":"1474-0338, 1744-764X","issue":"9","journalAbbreviation":"Expert Opinion on Drug Safety","language":"en","page":"1023-1033","source":"DOI.org (Crossref)","title":"The burden of adverse drug reactions reported by patients in the Dutch ADR monitor: a proof of concept","title-short":"The burden of adverse drug reactions reported by patients in the Dutch ADR monitor","volume":"24","author":[{"family":"Quik","given":"Janneke M."},{"family":"Gosselt","given":"Helen R."},{"family":"Van Lint","given":"Jette A."},{"family":"Kosse","given":"Leanne J."},{"family":"Ten Klooster","given":"Peter M."},{"family":"Vonkeman","given":"Harald E."},{"family":"Van Den Bemt","given":"B. J. F."},{"family":"Jessurun","given":"Naomi T."}],"issued":{"date-parts":[["2025",9,2]]}}}],"schema":"https://github.com/citation-style-language/schema/raw/master/csl-citation.json"}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(Quik et al., 2025)</w:t>
      </w:r>
      <w:r>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Therefore, machine learning can be beneficial </w:t>
      </w:r>
      <w:r w:rsidR="00CB0610">
        <w:rPr>
          <w:rFonts w:asciiTheme="majorBidi" w:hAnsiTheme="majorBidi" w:cstheme="majorBidi"/>
          <w:kern w:val="0"/>
          <w14:ligatures w14:val="none"/>
        </w:rPr>
        <w:t>for</w:t>
      </w:r>
      <w:r>
        <w:rPr>
          <w:rFonts w:asciiTheme="majorBidi" w:hAnsiTheme="majorBidi" w:cstheme="majorBidi"/>
          <w:kern w:val="0"/>
          <w14:ligatures w14:val="none"/>
        </w:rPr>
        <w:t xml:space="preserve"> addressing this issue</w:t>
      </w:r>
      <w:r w:rsidR="00CB0610">
        <w:rPr>
          <w:rFonts w:asciiTheme="majorBidi" w:hAnsiTheme="majorBidi" w:cstheme="majorBidi"/>
          <w:kern w:val="0"/>
          <w14:ligatures w14:val="none"/>
        </w:rPr>
        <w:t xml:space="preserve"> more effectively.</w:t>
      </w:r>
      <w:r>
        <w:rPr>
          <w:rFonts w:asciiTheme="majorBidi" w:hAnsiTheme="majorBidi" w:cstheme="majorBidi"/>
          <w:kern w:val="0"/>
          <w14:ligatures w14:val="none"/>
        </w:rPr>
        <w:t xml:space="preserve"> </w:t>
      </w:r>
      <w:r w:rsidR="00CB0610">
        <w:rPr>
          <w:rFonts w:asciiTheme="majorBidi" w:hAnsiTheme="majorBidi" w:cstheme="majorBidi"/>
          <w:kern w:val="0"/>
          <w14:ligatures w14:val="none"/>
        </w:rPr>
        <w:t>Early detection of</w:t>
      </w:r>
      <w:r>
        <w:rPr>
          <w:rFonts w:asciiTheme="majorBidi" w:hAnsiTheme="majorBidi" w:cstheme="majorBidi"/>
          <w:kern w:val="0"/>
          <w14:ligatures w14:val="none"/>
        </w:rPr>
        <w:t xml:space="preserve"> risk</w:t>
      </w:r>
      <w:r w:rsidR="00CB0610">
        <w:rPr>
          <w:rFonts w:asciiTheme="majorBidi" w:hAnsiTheme="majorBidi" w:cstheme="majorBidi"/>
          <w:kern w:val="0"/>
          <w14:ligatures w14:val="none"/>
        </w:rPr>
        <w:t>s allows for</w:t>
      </w:r>
      <w:r>
        <w:rPr>
          <w:rFonts w:asciiTheme="majorBidi" w:hAnsiTheme="majorBidi" w:cstheme="majorBidi"/>
          <w:kern w:val="0"/>
          <w14:ligatures w14:val="none"/>
        </w:rPr>
        <w:t xml:space="preserve"> proactive medication review, allowing doses to be adjusted and enhanced monitoring to be implemented </w:t>
      </w:r>
      <w:r w:rsidR="00CB0610">
        <w:rPr>
          <w:rFonts w:asciiTheme="majorBidi" w:hAnsiTheme="majorBidi" w:cstheme="majorBidi"/>
          <w:kern w:val="0"/>
          <w14:ligatures w14:val="none"/>
        </w:rPr>
        <w:t>prior to</w:t>
      </w:r>
      <w:r>
        <w:rPr>
          <w:rFonts w:asciiTheme="majorBidi" w:hAnsiTheme="majorBidi" w:cstheme="majorBidi"/>
          <w:kern w:val="0"/>
          <w14:ligatures w14:val="none"/>
        </w:rPr>
        <w:t xml:space="preserve"> severe and dangerous side effects occur</w:t>
      </w:r>
      <w:r w:rsidR="00CB0610">
        <w:rPr>
          <w:rFonts w:asciiTheme="majorBidi" w:hAnsiTheme="majorBidi" w:cstheme="majorBidi"/>
          <w:kern w:val="0"/>
          <w14:ligatures w14:val="none"/>
        </w:rPr>
        <w:t>ring</w:t>
      </w:r>
      <w:r>
        <w:rPr>
          <w:rFonts w:asciiTheme="majorBidi" w:hAnsiTheme="majorBidi" w:cstheme="majorBidi"/>
          <w:kern w:val="0"/>
          <w14:ligatures w14:val="none"/>
        </w:rPr>
        <w:t xml:space="preserve">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{"citationID":"n5y0j3sR","properties":{"formattedCitation":"(Laroche et al., 2025)","plainCitation":"(Laroche et al., 2025)","noteIndex":0},"citationItems":[{"id":"EtHRhwhX/cGMlAmde","uris":["http://zotero.org/users/13727123/items/YV7BE5ML"],"itemData":{"id":587,"type":"article-journal","abstract":"Aims\n              Hospitalizations for adverse drug reactions (ADR‐HA) have increased over the last decade, but the impact of ADR‐HA has rarely been evaluated. The aim of this study was to estimate the economic burden of ADR‐HA in France.\n            \n            \n              Methods\n              A partial economic evaluation from the viewpoint of French public health insurance was performed, based on a previous pharmacovigilance study (IATROSTAT) performed in 2018 in public hospital medical units. The cost included direct medical costs, collected retrospectively, from the French hospital discharge database. The economic burden was estimated by calculating the total cost per ADR‐HA patient (cost of hospital stays, additional daily cost of specific stays, such as in a resuscitation, intensive care or continuous surveillance unit, drug products and medical devices in addition to Healthcare Resource Group‐based tariffs, and specific outpatient consultations and other clinical and technical medical procedures, over 3 months as from the first day of ADR‐HA). The robustness of the results was assessed using a one‐way deterministic sensitivity analysis of cost factors applying tariffs from 2023 instead of 2018.\n            \n            \n              Results\n              \n                According to the 2018 tariffs (\n                vs\n                . 2023), the mean total cost per patient with ADR‐HA was estimated at €5208 ± €3719 (\n                vs\n                . €5974 ± €4232) ranging from €514 to €23 355 (\n                vs\n                . €618 to €27 380). The total cost for 196 patients with ADR‐HA admitted to a sample of French public hospitals was estimated at €1 020 549 (\n                vs\n                . €1 170 960). It could be estimated at €1.3 billion at the national level.\n              \n            \n            \n              Conclusions\n              In addition to the increase in the number of expensive drugs, the ageing population and polypharmacy, the economic impact of serious ADR‐HA weighs heavily on healthcare spending.","container-title":"British Journal of Clinical Pharmacology","DOI":"10.1111/bcp.16266","ISSN":"0306-5251, 1365-2125","issue":"2","journalAbbreviation":"Brit J Clinical Pharma","language":"en","license":"http://creativecommons.org/licenses/by-nc-nd/4.0/","page":"439-450","source":"DOI.org (Crossref)","title":"Economic burden of hospital admissions for adverse drug reactions in France: The IATROSTAT‐ECO study","title-short":"Economic burden of hospital admissions for adverse drug reactions in France","volume":"91","author":[{"family":"Laroche","given":"Marie‐Laure"},{"family":"Tarbouriech","given":"Noémie"},{"family":"Jai","given":"Taha"},{"family":"Valnet‐Rabier","given":"Marie‐Blanche"},{"family":"Nerich","given":"Virginie"}],"issued":{"date-parts":[["2025",2]]}}}],"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(Laroche et al., 2025)</w:t>
      </w:r>
      <w:r>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Data science and </w:t>
      </w:r>
      <w:r>
        <w:rPr>
          <w:rFonts w:asciiTheme="majorBidi" w:hAnsiTheme="majorBidi" w:cstheme="majorBidi"/>
          <w:kern w:val="0"/>
          <w14:ligatures w14:val="none"/>
        </w:rPr>
        <w:lastRenderedPageBreak/>
        <w:t>machine learning algorithms</w:t>
      </w:r>
      <w:r w:rsidR="00CB0610">
        <w:rPr>
          <w:rFonts w:asciiTheme="majorBidi" w:hAnsiTheme="majorBidi" w:cstheme="majorBidi"/>
          <w:kern w:val="0"/>
          <w14:ligatures w14:val="none"/>
        </w:rPr>
        <w:t xml:space="preserve"> have</w:t>
      </w:r>
      <w:r>
        <w:rPr>
          <w:rFonts w:asciiTheme="majorBidi" w:hAnsiTheme="majorBidi" w:cstheme="majorBidi"/>
          <w:kern w:val="0"/>
          <w14:ligatures w14:val="none"/>
        </w:rPr>
        <w:t xml:space="preserve"> demonstrate</w:t>
      </w:r>
      <w:r w:rsidR="00CB0610">
        <w:rPr>
          <w:rFonts w:asciiTheme="majorBidi" w:hAnsiTheme="majorBidi" w:cstheme="majorBidi"/>
          <w:kern w:val="0"/>
          <w14:ligatures w14:val="none"/>
        </w:rPr>
        <w:t>d</w:t>
      </w:r>
      <w:r>
        <w:rPr>
          <w:rFonts w:asciiTheme="majorBidi" w:hAnsiTheme="majorBidi" w:cstheme="majorBidi"/>
          <w:kern w:val="0"/>
          <w14:ligatures w14:val="none"/>
        </w:rPr>
        <w:t xml:space="preserve"> high predictive performance for ADR risk, </w:t>
      </w:r>
      <w:r w:rsidR="002F5785">
        <w:rPr>
          <w:rFonts w:asciiTheme="majorBidi" w:hAnsiTheme="majorBidi" w:cstheme="majorBidi"/>
          <w:kern w:val="0"/>
          <w14:ligatures w14:val="none"/>
        </w:rPr>
        <w:t>enabling precise collection and management of clinical data conclusions</w:t>
      </w:r>
      <w:r>
        <w:rPr>
          <w:rFonts w:asciiTheme="majorBidi" w:hAnsiTheme="majorBidi" w:cstheme="majorBidi"/>
          <w:kern w:val="0"/>
          <w14:ligatures w14:val="none"/>
        </w:rPr>
        <w:t xml:space="preserve"> </w:t>
      </w:r>
      <w:r w:rsidR="002F5785">
        <w:rPr>
          <w:rFonts w:asciiTheme="majorBidi" w:hAnsiTheme="majorBidi" w:cstheme="majorBidi"/>
          <w:kern w:val="0"/>
          <w14:ligatures w14:val="none"/>
        </w:rPr>
        <w:t>to</w:t>
      </w:r>
      <w:r w:rsidR="00CB0610">
        <w:rPr>
          <w:rFonts w:asciiTheme="majorBidi" w:hAnsiTheme="majorBidi" w:cstheme="majorBidi"/>
          <w:kern w:val="0"/>
          <w14:ligatures w14:val="none"/>
        </w:rPr>
        <w:t xml:space="preserve"> aid in</w:t>
      </w:r>
      <w:r>
        <w:rPr>
          <w:rFonts w:asciiTheme="majorBidi" w:hAnsiTheme="majorBidi" w:cstheme="majorBidi"/>
          <w:kern w:val="0"/>
          <w14:ligatures w14:val="none"/>
        </w:rPr>
        <w:t xml:space="preserve"> predict</w:t>
      </w:r>
      <w:r w:rsidR="00CB0610">
        <w:rPr>
          <w:rFonts w:asciiTheme="majorBidi" w:hAnsiTheme="majorBidi" w:cstheme="majorBidi"/>
          <w:kern w:val="0"/>
          <w14:ligatures w14:val="none"/>
        </w:rPr>
        <w:t>ing</w:t>
      </w:r>
      <w:r>
        <w:rPr>
          <w:rFonts w:asciiTheme="majorBidi" w:hAnsiTheme="majorBidi" w:cstheme="majorBidi"/>
          <w:kern w:val="0"/>
          <w14:ligatures w14:val="none"/>
        </w:rPr>
        <w:t xml:space="preserve"> side effects earlier and save patients from potential harm and eventual death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{"citationID":"4xPTuGs1","properties":{"formattedCitation":"(He et al., 2025)","plainCitation":"(He et al., 2025)","noteIndex":0},"citationItems":[{"id":596,"uris":["http://zotero.org/users/13727123/items/U5IYNRYF"],"itemData":{"id":596,"type":"article-journal","abstract":"Introduction\n              Adverse Drug Reactions (ADRs), a widespread phenomenon in clinical drug treatment, are often associated with a high risk of morbidity and even death. Drugs and changes in gene expression are the two important factors that affect whether and how adverse reactions occur. Notably, pharmacogenomics data have recently become more available and could be used to predict ADR occurrence. However, there is a challenge in effectively analyzing the massive data lacking guidance on mutual relationship for ADRs prediction.\n            \n            \n              Methods\n              We constructed separate similarity features for drugs and ADRs using pharmacogenomics data from the Comparative Toxicogenomics Database [CTD, including Chemical-Gene Interactions (CGIs) and Gene-Disease Associations (GDAs)]. We proposed a novel deep learning architecture, DGANet, based on the constructed features for ADR prediction. The algorithm uses Convolutional Neural Networks (CNN) and cross-features to learn the latent drug-gene-ADR associations for ADRs prediction.\n            \n            \n              Results and Discussion\n              The performance of DGANet was compared to three state-of-the-art algorithms with different genomic features. According to the results, GDANet outperformed the benchmark algorithms (AUROC = 92.76%, AUPRC = 92.49%), demonstrating a 3.36% AUROC and 4.05% accuracy improvement over the cutting-edge algorithms. We further proposed new genomic features that improved DGANet’s predictive capability. Moreover, case studies on top-ranked candidates confirmed DGANet’s ability to predict new ADRs.","container-title":"Frontiers in Pharmacology","DOI":"10.3389/fphar.2025.1448106","ISSN":"1663-9812","journalAbbreviation":"Front. Pharmacol.","page":"1448106","source":"DOI.org (Crossref)","title":"Prediction of adverse drug reactions based on pharmacogenomics combination features: a preliminary study","title-short":"Prediction of adverse drug reactions based on pharmacogenomics combination features","volume":"16","author":[{"family":"He","given":"Mingxiu"},{"family":"Shi","given":"Yiyang"},{"family":"Han","given":"Fangfang"},{"family":"Cai","given":"Yongming"}],"issued":{"date-parts":[["2025",3,10]]}}}],"schema":"https://github.com/citation-style-language/schema/raw/master/csl-citation.json"} </w:instrText>
      </w:r>
      <w:r>
        <w:rPr>
          <w:rFonts w:asciiTheme="majorBidi" w:hAnsiTheme="majorBidi" w:cstheme="majorBidi"/>
          <w:kern w:val="0"/>
          <w14:ligatures w14:val="none"/>
        </w:rPr>
        <w:fldChar w:fldCharType="separate"/>
      </w:r>
      <w:r>
        <w:rPr>
          <w:rFonts w:asciiTheme="majorBidi" w:hAnsiTheme="majorBidi" w:cstheme="majorBidi"/>
          <w:kern w:val="0"/>
          <w14:ligatures w14:val="none"/>
        </w:rPr>
        <w:t>(He et al., 2025)</w:t>
      </w:r>
      <w:r>
        <w:rPr>
          <w:rFonts w:asciiTheme="majorBidi" w:hAnsiTheme="majorBidi" w:cstheme="majorBidi"/>
          <w:kern w:val="0"/>
          <w14:ligatures w14:val="none"/>
        </w:rPr>
        <w:fldChar w:fldCharType="end"/>
      </w:r>
      <w:r>
        <w:rPr>
          <w:rFonts w:asciiTheme="majorBidi" w:hAnsiTheme="majorBidi" w:cstheme="majorBidi"/>
          <w:kern w:val="0"/>
          <w14:ligatures w14:val="none"/>
        </w:rPr>
        <w:t>.  </w:t>
      </w:r>
    </w:p>
    <w:p w14:paraId="7ECF930C" w14:textId="69FB11CC" w:rsidR="006F7614" w:rsidRPr="001A256F" w:rsidRDefault="00CB0610" w:rsidP="00647A27">
      <w:pPr>
        <w:pStyle w:val="ListParagraph"/>
        <w:numPr>
          <w:ilvl w:val="1"/>
          <w:numId w:val="4"/>
        </w:numPr>
        <w:spacing w:line="360" w:lineRule="auto"/>
        <w:rPr>
          <w:rFonts w:asciiTheme="majorBidi" w:hAnsiTheme="majorBidi" w:cstheme="majorBidi"/>
          <w:sz w:val="24"/>
          <w:szCs w:val="24"/>
          <w:u w:val="single"/>
        </w:rPr>
      </w:pPr>
      <w:bookmarkStart w:id="1" w:name="OLE_LINK5"/>
      <w:r w:rsidRPr="001A256F">
        <w:rPr>
          <w:rFonts w:asciiTheme="majorBidi" w:hAnsiTheme="majorBidi" w:cstheme="majorBidi"/>
          <w:sz w:val="24"/>
          <w:szCs w:val="24"/>
          <w:u w:val="single"/>
        </w:rPr>
        <w:t xml:space="preserve"> </w:t>
      </w:r>
      <w:r w:rsidR="006F7614" w:rsidRPr="001A256F">
        <w:rPr>
          <w:rFonts w:asciiTheme="majorBidi" w:hAnsiTheme="majorBidi" w:cstheme="majorBidi"/>
          <w:sz w:val="24"/>
          <w:szCs w:val="24"/>
          <w:u w:val="single"/>
        </w:rPr>
        <w:t>Literature Review</w:t>
      </w:r>
    </w:p>
    <w:p w14:paraId="7C494278" w14:textId="06504C6B" w:rsidR="006F7614" w:rsidRDefault="002F5785" w:rsidP="006F7614">
      <w:pPr>
        <w:spacing w:line="360" w:lineRule="auto"/>
        <w:rPr>
          <w:rFonts w:asciiTheme="majorBidi" w:hAnsiTheme="majorBidi" w:cstheme="majorBidi"/>
        </w:rPr>
      </w:pPr>
      <w:r>
        <w:rPr>
          <w:rFonts w:asciiTheme="majorBidi" w:hAnsiTheme="majorBidi" w:cstheme="majorBidi"/>
          <w:kern w:val="0"/>
          <w14:ligatures w14:val="none"/>
        </w:rPr>
        <w:t xml:space="preserve">In </w:t>
      </w:r>
      <w:r w:rsidR="00846E30">
        <w:rPr>
          <w:rFonts w:asciiTheme="majorBidi" w:hAnsiTheme="majorBidi" w:cstheme="majorBidi"/>
          <w:kern w:val="0"/>
          <w14:ligatures w14:val="none"/>
        </w:rPr>
        <w:t xml:space="preserve">more </w:t>
      </w:r>
      <w:r>
        <w:rPr>
          <w:rFonts w:asciiTheme="majorBidi" w:hAnsiTheme="majorBidi" w:cstheme="majorBidi"/>
          <w:kern w:val="0"/>
          <w14:ligatures w14:val="none"/>
        </w:rPr>
        <w:t>recent years, M</w:t>
      </w:r>
      <w:r w:rsidR="006F7614">
        <w:rPr>
          <w:rFonts w:asciiTheme="majorBidi" w:hAnsiTheme="majorBidi" w:cstheme="majorBidi"/>
          <w:kern w:val="0"/>
          <w14:ligatures w14:val="none"/>
        </w:rPr>
        <w:t xml:space="preserve">achine learning (ML) has </w:t>
      </w:r>
      <w:r>
        <w:rPr>
          <w:rFonts w:asciiTheme="majorBidi" w:hAnsiTheme="majorBidi" w:cstheme="majorBidi"/>
          <w:kern w:val="0"/>
          <w14:ligatures w14:val="none"/>
        </w:rPr>
        <w:t xml:space="preserve">been </w:t>
      </w:r>
      <w:r w:rsidR="006F7614">
        <w:rPr>
          <w:rFonts w:asciiTheme="majorBidi" w:hAnsiTheme="majorBidi" w:cstheme="majorBidi"/>
          <w:kern w:val="0"/>
          <w14:ligatures w14:val="none"/>
        </w:rPr>
        <w:t>applied in healthcare to improve risk prediction, decision support, and patient safety, including the detection of ADRs</w:t>
      </w:r>
      <w:r>
        <w:rPr>
          <w:rFonts w:asciiTheme="majorBidi" w:hAnsiTheme="majorBidi" w:cstheme="majorBidi"/>
          <w:kern w:val="0"/>
          <w14:ligatures w14:val="none"/>
        </w:rPr>
        <w:t xml:space="preserve"> at increasing amounts</w:t>
      </w:r>
      <w:r w:rsidR="006F7614">
        <w:rPr>
          <w:rFonts w:asciiTheme="majorBidi" w:hAnsiTheme="majorBidi" w:cstheme="majorBidi"/>
          <w:kern w:val="0"/>
          <w14:ligatures w14:val="none"/>
        </w:rPr>
        <w:t xml:space="preserve">. Early reviews, such as </w:t>
      </w:r>
      <w:r w:rsidR="00AF0CB3">
        <w:rPr>
          <w:rFonts w:asciiTheme="majorBidi" w:hAnsiTheme="majorBidi" w:cstheme="majorBidi"/>
          <w:kern w:val="0"/>
          <w14:ligatures w14:val="none"/>
        </w:rPr>
        <w:t xml:space="preserve">a study done </w:t>
      </w:r>
      <w:r w:rsidR="006F7614">
        <w:rPr>
          <w:rFonts w:asciiTheme="majorBidi" w:hAnsiTheme="majorBidi" w:cstheme="majorBidi"/>
          <w:kern w:val="0"/>
          <w14:ligatures w14:val="none"/>
        </w:rPr>
        <w:t xml:space="preserve">by Miotto et al. (2017), highlighted the potential of ML models to integrate </w:t>
      </w:r>
      <w:r>
        <w:rPr>
          <w:rFonts w:asciiTheme="majorBidi" w:hAnsiTheme="majorBidi" w:cstheme="majorBidi"/>
          <w:kern w:val="0"/>
          <w14:ligatures w14:val="none"/>
        </w:rPr>
        <w:t>various</w:t>
      </w:r>
      <w:r w:rsidR="006F7614">
        <w:rPr>
          <w:rFonts w:asciiTheme="majorBidi" w:hAnsiTheme="majorBidi" w:cstheme="majorBidi"/>
          <w:kern w:val="0"/>
          <w14:ligatures w14:val="none"/>
        </w:rPr>
        <w:t xml:space="preserve"> clinical data and uncover complex patterns that traditional statistical approaches </w:t>
      </w:r>
      <w:r>
        <w:rPr>
          <w:rFonts w:asciiTheme="majorBidi" w:hAnsiTheme="majorBidi" w:cstheme="majorBidi"/>
          <w:kern w:val="0"/>
          <w14:ligatures w14:val="none"/>
        </w:rPr>
        <w:t xml:space="preserve">struggle to </w:t>
      </w:r>
      <w:r w:rsidR="006F7614">
        <w:rPr>
          <w:rFonts w:asciiTheme="majorBidi" w:hAnsiTheme="majorBidi" w:cstheme="majorBidi"/>
          <w:kern w:val="0"/>
          <w14:ligatures w14:val="none"/>
        </w:rPr>
        <w:t xml:space="preserve">capture. </w:t>
      </w:r>
      <w:r>
        <w:rPr>
          <w:rFonts w:asciiTheme="majorBidi" w:hAnsiTheme="majorBidi" w:cstheme="majorBidi"/>
          <w:kern w:val="0"/>
          <w14:ligatures w14:val="none"/>
        </w:rPr>
        <w:t>Though</w:t>
      </w:r>
      <w:r w:rsidR="006F7614">
        <w:rPr>
          <w:rFonts w:asciiTheme="majorBidi" w:hAnsiTheme="majorBidi" w:cstheme="majorBidi"/>
          <w:kern w:val="0"/>
          <w14:ligatures w14:val="none"/>
        </w:rPr>
        <w:t xml:space="preserve"> they emphasised key limitations, including data quality issues, model interpretability, and the difficulty of translating predictive performance into clinical utility. </w:t>
      </w:r>
    </w:p>
    <w:p w14:paraId="2187F340" w14:textId="4C11428B" w:rsidR="006F7614" w:rsidRPr="00980F9C" w:rsidRDefault="006F7614" w:rsidP="006F7614">
      <w:pPr>
        <w:spacing w:line="360" w:lineRule="auto"/>
        <w:rPr>
          <w:rFonts w:asciiTheme="majorBidi" w:hAnsiTheme="majorBidi" w:cstheme="majorBidi"/>
        </w:rPr>
      </w:pPr>
      <w:r w:rsidRPr="00980F9C">
        <w:rPr>
          <w:rFonts w:asciiTheme="majorBidi" w:hAnsiTheme="majorBidi" w:cstheme="majorBidi"/>
        </w:rPr>
        <w:t xml:space="preserve">These challenges are </w:t>
      </w:r>
      <w:r w:rsidR="00AF0CB3">
        <w:rPr>
          <w:rFonts w:asciiTheme="majorBidi" w:hAnsiTheme="majorBidi" w:cstheme="majorBidi"/>
        </w:rPr>
        <w:t xml:space="preserve">also </w:t>
      </w:r>
      <w:r w:rsidRPr="00980F9C">
        <w:rPr>
          <w:rFonts w:asciiTheme="majorBidi" w:hAnsiTheme="majorBidi" w:cstheme="majorBidi"/>
        </w:rPr>
        <w:t xml:space="preserve">relevant in pharmacovigilance, where </w:t>
      </w:r>
      <w:r>
        <w:rPr>
          <w:rFonts w:asciiTheme="majorBidi" w:hAnsiTheme="majorBidi" w:cstheme="majorBidi"/>
        </w:rPr>
        <w:t>model-informed</w:t>
      </w:r>
      <w:r w:rsidRPr="00980F9C">
        <w:rPr>
          <w:rFonts w:asciiTheme="majorBidi" w:hAnsiTheme="majorBidi" w:cstheme="majorBidi"/>
        </w:rPr>
        <w:t xml:space="preserve"> </w:t>
      </w:r>
      <w:r>
        <w:rPr>
          <w:rFonts w:asciiTheme="majorBidi" w:hAnsiTheme="majorBidi" w:cstheme="majorBidi"/>
        </w:rPr>
        <w:t>decision</w:t>
      </w:r>
      <w:r w:rsidRPr="00980F9C">
        <w:rPr>
          <w:rFonts w:asciiTheme="majorBidi" w:hAnsiTheme="majorBidi" w:cstheme="majorBidi"/>
        </w:rPr>
        <w:t xml:space="preserve">s may directly </w:t>
      </w:r>
      <w:r w:rsidR="00AF0CB3">
        <w:rPr>
          <w:rFonts w:asciiTheme="majorBidi" w:hAnsiTheme="majorBidi" w:cstheme="majorBidi"/>
        </w:rPr>
        <w:t xml:space="preserve">impact </w:t>
      </w:r>
      <w:r w:rsidRPr="00980F9C">
        <w:rPr>
          <w:rFonts w:asciiTheme="majorBidi" w:hAnsiTheme="majorBidi" w:cstheme="majorBidi"/>
        </w:rPr>
        <w:t>patient safety.</w:t>
      </w:r>
      <w:r>
        <w:rPr>
          <w:rFonts w:asciiTheme="majorBidi" w:hAnsiTheme="majorBidi" w:cstheme="majorBidi"/>
        </w:rPr>
        <w:t xml:space="preserve"> </w:t>
      </w:r>
      <w:r w:rsidRPr="00A67BE2">
        <w:rPr>
          <w:rFonts w:asciiTheme="majorBidi" w:hAnsiTheme="majorBidi" w:cstheme="majorBidi"/>
        </w:rPr>
        <w:t xml:space="preserve">Traditional pharmacovigilance systems, </w:t>
      </w:r>
      <w:r w:rsidR="00AF0CB3">
        <w:rPr>
          <w:rFonts w:asciiTheme="majorBidi" w:hAnsiTheme="majorBidi" w:cstheme="majorBidi"/>
        </w:rPr>
        <w:t xml:space="preserve">such as </w:t>
      </w:r>
      <w:r w:rsidRPr="00A67BE2">
        <w:rPr>
          <w:rFonts w:asciiTheme="majorBidi" w:hAnsiTheme="majorBidi" w:cstheme="majorBidi"/>
        </w:rPr>
        <w:t xml:space="preserve">spontaneous reporting databases, are limited </w:t>
      </w:r>
      <w:r w:rsidR="00AF0CB3">
        <w:rPr>
          <w:rFonts w:asciiTheme="majorBidi" w:hAnsiTheme="majorBidi" w:cstheme="majorBidi"/>
        </w:rPr>
        <w:t>by common errors, including</w:t>
      </w:r>
      <w:r w:rsidRPr="00A67BE2">
        <w:rPr>
          <w:rFonts w:asciiTheme="majorBidi" w:hAnsiTheme="majorBidi" w:cstheme="majorBidi"/>
        </w:rPr>
        <w:t xml:space="preserve"> under-reporting, reporting bias, and delayed signal detection, </w:t>
      </w:r>
      <w:r>
        <w:rPr>
          <w:rFonts w:asciiTheme="majorBidi" w:hAnsiTheme="majorBidi" w:cstheme="majorBidi"/>
        </w:rPr>
        <w:t xml:space="preserve">which </w:t>
      </w:r>
      <w:r w:rsidR="00AF0CB3">
        <w:rPr>
          <w:rFonts w:asciiTheme="majorBidi" w:hAnsiTheme="majorBidi" w:cstheme="majorBidi"/>
        </w:rPr>
        <w:t xml:space="preserve">leads to reduced </w:t>
      </w:r>
      <w:r w:rsidRPr="00A67BE2">
        <w:rPr>
          <w:rFonts w:asciiTheme="majorBidi" w:hAnsiTheme="majorBidi" w:cstheme="majorBidi"/>
        </w:rPr>
        <w:t>effectiveness for real-time clinical risk prediction</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{"citationID":"RrToYeFJ","properties":{"formattedCitation":"(In\\uc0\\u225{}cio et al., 2017)","plainCitation":"(Inácio et al., 2017)","noteIndex":0},"citationItems":[{"id":635,"uris":["http://zotero.org/users/13727123/items/D8QGUDIR"],"itemData":{"id":635,"type":"article-journal","abstract":"AIMS: Current trends in pharmacovigilance systems are veering towards patient involvement in spontaneous reporting of adverse drug reactions (ADRs). The aim of the current systematic review was to identify what is known and what remains unknown with respect to patient reporting to pharmacovigilance systems.\nMETHODS: A systematic literature search was conducted in PubMed, CINAHL, Journals@Ovid and the Cochrane Library. Studies were included if they contained: (i) reviews about patient reporting; (ii) evaluation of patient reports to national or supranational pharmacovigilance authorities; (iii) a comparison between patient and healthcare professional (HCP) reports submitted to pharmacovigilance authorities; and (iv) surveys of patient experiences, opinions and awareness about reporting ADRs. The methodological quality of the studies was assessed according to principles of Grading of Recommendations, Assessment, Development and Evaluations (GRADE).\nRESULTS: A total of thirty four studies were included. Five of the studies were reviews (two of which systematic reviews), fourteen retrospective observational studies, nine surveys and six applied mixed research methods. Patient reporting has the advantages of bringing novel information about ADRs. It provides a more detailed description of ADRs, and reports about different drugs and system organ classes when compared with HCP reporting. In addition, patients describe the severity and impact of ADRs on daily life, complementing information derived from HCPs. Patient reporting is relatively rare in most countries.\nCONCLUSIONS: Patient reporting adds new information, and perspective about ADRs in a way otherwise unavailable. This can contribute to better decision-making processes in regulatory activities. The present review identified gaps in knowledge that should be addressed to improve our understanding of the full potential and drawbacks of patient reporting.","container-title":"British Journal of Clinical Pharmacology","DOI":"10.1111/bcp.13098","ISSN":"1365-2125","issue":"2","journalAbbreviation":"Br J Clin Pharmacol","language":"eng","note":"PMID: 27558545\nPMCID: PMC5237689","page":"227-246","source":"PubMed","title":"The value of patient reporting to the pharmacovigilance system: a systematic review","title-short":"The value of patient reporting to the pharmacovigilance system","volume":"83","author":[{"family":"Inácio","given":"Pedro"},{"family":"Cavaco","given":"Afonso"},{"family":"Airaksinen","given":"Marja"}],"issued":{"date-parts":[["2017",2]]}}}],"schema":"https://github.com/citation-style-language/schema/raw/master/csl-citation.json"} </w:instrText>
      </w:r>
      <w:r>
        <w:rPr>
          <w:rFonts w:asciiTheme="majorBidi" w:hAnsiTheme="majorBidi" w:cstheme="majorBidi"/>
        </w:rPr>
        <w:fldChar w:fldCharType="separate"/>
      </w:r>
      <w:r w:rsidRPr="002208D8">
        <w:rPr>
          <w:rFonts w:ascii="Times New Roman" w:hAnsi="Times New Roman" w:cs="Times New Roman"/>
          <w:kern w:val="0"/>
        </w:rPr>
        <w:t>(Inácio et al., 2017)</w:t>
      </w:r>
      <w:r>
        <w:rPr>
          <w:rFonts w:asciiTheme="majorBidi" w:hAnsiTheme="majorBidi" w:cstheme="majorBidi"/>
        </w:rPr>
        <w:fldChar w:fldCharType="end"/>
      </w:r>
      <w:r>
        <w:rPr>
          <w:rFonts w:asciiTheme="majorBidi" w:hAnsiTheme="majorBidi" w:cstheme="majorBidi"/>
        </w:rPr>
        <w:t>.</w:t>
      </w:r>
      <w:r w:rsidRPr="002208D8">
        <w:t xml:space="preserve"> </w:t>
      </w:r>
      <w:r w:rsidRPr="002208D8">
        <w:rPr>
          <w:rFonts w:asciiTheme="majorBidi" w:hAnsiTheme="majorBidi" w:cstheme="majorBidi"/>
        </w:rPr>
        <w:t>Quantitative signal</w:t>
      </w:r>
      <w:r>
        <w:rPr>
          <w:rFonts w:asciiTheme="majorBidi" w:hAnsiTheme="majorBidi" w:cstheme="majorBidi"/>
        </w:rPr>
        <w:t>-</w:t>
      </w:r>
      <w:r w:rsidRPr="002208D8">
        <w:rPr>
          <w:rFonts w:asciiTheme="majorBidi" w:hAnsiTheme="majorBidi" w:cstheme="majorBidi"/>
        </w:rPr>
        <w:t xml:space="preserve">detection methods </w:t>
      </w:r>
      <w:r w:rsidR="00AF0CB3">
        <w:rPr>
          <w:rFonts w:asciiTheme="majorBidi" w:hAnsiTheme="majorBidi" w:cstheme="majorBidi"/>
        </w:rPr>
        <w:t xml:space="preserve">that are </w:t>
      </w:r>
      <w:r w:rsidRPr="002208D8">
        <w:rPr>
          <w:rFonts w:asciiTheme="majorBidi" w:hAnsiTheme="majorBidi" w:cstheme="majorBidi"/>
        </w:rPr>
        <w:t xml:space="preserve">applied to spontaneous reporting systems have improved post-marketing surveillance but remain </w:t>
      </w:r>
      <w:r w:rsidR="00AF0CB3">
        <w:rPr>
          <w:rFonts w:asciiTheme="majorBidi" w:hAnsiTheme="majorBidi" w:cstheme="majorBidi"/>
        </w:rPr>
        <w:t>mostly</w:t>
      </w:r>
      <w:r w:rsidRPr="002208D8">
        <w:rPr>
          <w:rFonts w:asciiTheme="majorBidi" w:hAnsiTheme="majorBidi" w:cstheme="majorBidi"/>
        </w:rPr>
        <w:t xml:space="preserve"> retrospective and are not designed to support patient-level risk prediction at the point of care</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{"citationID":"PLroulzi","properties":{"formattedCitation":"(Bate and Evans, 2009)","plainCitation":"(Bate and Evans, 2009)","noteIndex":0},"citationItems":[{"id":638,"uris":["http://zotero.org/users/13727123/items/FC4BA6KR"],"itemData":{"id":638,"type":"article-journal","abstract":"Quantitative methods are increasingly used to analyse spontaneous reports. We describe the core concepts behind the most common methods, the proportional reporting ratio (PRR), reporting odds ratio (ROR), information component (IC) and empirical Bayes geometric mean (EBGM). We discuss the role of Bayesian shrinkage in screening spontaneous reports, the importance of changes over time in screening the properties of the measures. Additionally we discuss three major areas of controversy and ongoing research: stratification, method evaluation and implementation. Finally we give some suggestions as to where emerging research is likely to lead.","container-title":"Pharmacoepidemiology and Drug Safety","DOI":"10.1002/pds.1742","ISSN":"1099-1557","issue":"6","journalAbbreviation":"Pharmacoepidemiol Drug Saf","language":"eng","note":"PMID: 19358225","page":"427-436","source":"PubMed","title":"Quantitative signal detection using spontaneous ADR reporting","volume":"18","author":[{"family":"Bate","given":"A."},{"family":"Evans","given":"S. J. W."}],"issued":{"date-parts":[["2009",6]]}}}],"schema":"https://github.com/citation-style-language/schema/raw/master/csl-citation.json"} </w:instrText>
      </w:r>
      <w:r>
        <w:rPr>
          <w:rFonts w:asciiTheme="majorBidi" w:hAnsiTheme="majorBidi" w:cstheme="majorBidi"/>
        </w:rPr>
        <w:fldChar w:fldCharType="separate"/>
      </w:r>
      <w:r w:rsidRPr="002208D8">
        <w:rPr>
          <w:rFonts w:ascii="Times New Roman" w:hAnsi="Times New Roman" w:cs="Times New Roman"/>
        </w:rPr>
        <w:t>(Bate and Evans, 2009)</w:t>
      </w:r>
      <w:r>
        <w:rPr>
          <w:rFonts w:asciiTheme="majorBidi" w:hAnsiTheme="majorBidi" w:cstheme="majorBidi"/>
        </w:rPr>
        <w:fldChar w:fldCharType="end"/>
      </w:r>
      <w:r>
        <w:rPr>
          <w:rFonts w:asciiTheme="majorBidi" w:hAnsiTheme="majorBidi" w:cstheme="majorBidi"/>
        </w:rPr>
        <w:t xml:space="preserve">. </w:t>
      </w:r>
      <w:r w:rsidRPr="00DF15A7">
        <w:rPr>
          <w:rFonts w:asciiTheme="majorBidi" w:hAnsiTheme="majorBidi" w:cstheme="majorBidi"/>
        </w:rPr>
        <w:t xml:space="preserve">More recent reviews reinforce these early observations, </w:t>
      </w:r>
      <w:r w:rsidR="00F006F1" w:rsidRPr="00DF15A7">
        <w:rPr>
          <w:rFonts w:asciiTheme="majorBidi" w:hAnsiTheme="majorBidi" w:cstheme="majorBidi"/>
        </w:rPr>
        <w:t>observing</w:t>
      </w:r>
      <w:r w:rsidRPr="00DF15A7">
        <w:rPr>
          <w:rFonts w:asciiTheme="majorBidi" w:hAnsiTheme="majorBidi" w:cstheme="majorBidi"/>
        </w:rPr>
        <w:t xml:space="preserve"> that although machine learning enables the integration of </w:t>
      </w:r>
      <w:r>
        <w:rPr>
          <w:rFonts w:asciiTheme="majorBidi" w:hAnsiTheme="majorBidi" w:cstheme="majorBidi"/>
        </w:rPr>
        <w:t>diverse</w:t>
      </w:r>
      <w:r w:rsidRPr="00DF15A7">
        <w:rPr>
          <w:rFonts w:asciiTheme="majorBidi" w:hAnsiTheme="majorBidi" w:cstheme="majorBidi"/>
        </w:rPr>
        <w:t xml:space="preserve"> clinical data streams, its real-world impact remains </w:t>
      </w:r>
      <w:r w:rsidR="00F006F1">
        <w:rPr>
          <w:rFonts w:asciiTheme="majorBidi" w:hAnsiTheme="majorBidi" w:cstheme="majorBidi"/>
        </w:rPr>
        <w:t>limit</w:t>
      </w:r>
      <w:r w:rsidR="00F006F1" w:rsidRPr="00DF15A7">
        <w:rPr>
          <w:rFonts w:asciiTheme="majorBidi" w:hAnsiTheme="majorBidi" w:cstheme="majorBidi"/>
        </w:rPr>
        <w:t>ed</w:t>
      </w:r>
      <w:r w:rsidRPr="00DF15A7">
        <w:rPr>
          <w:rFonts w:asciiTheme="majorBidi" w:hAnsiTheme="majorBidi" w:cstheme="majorBidi"/>
        </w:rPr>
        <w:t xml:space="preserve"> by fragmented data sources, inconsistent outcome definitions, and limited clinical validation</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{"citationID":"kCuM4gHx","properties":{"formattedCitation":"(Kim et al., 2022)","plainCitation":"(Kim et al., 2022)","noteIndex":0},"citationItems":[{"id":612,"uris":["http://zotero.org/users/13727123/items/TESLCD4Q"],"itemData":{"id":612,"type":"article-journal","abstract":"Background:\nAdverse drug reactions (ADRs) are unintended negative drug-induced responses. Determining the association between drugs and ADRs is crucial, and several methods have been proposed to demonstrate this association. This systematic review aimed to examine the analytical tools by considering original articles that utilized statistical and machine learning methods for detecting ADRs.\n\nMethods:\nA systematic literature review was conducted based on articles published between 2015 and 2020. The keywords used were statistical, machine learning, and deep learning methods for detecting ADR signals. The study was conducted according to the Preferred Reporting Items for Systematic Reviews and Meta-Analyses statement (PRISMA) guidelines.\n\nResults:\nWe reviewed 72 articles, of which 51 and 21 addressed statistical and machine learning methods, respectively. Electronic medical record (EMR) data were exclusively analyzed using the regression method. For FDA Adverse Event Reporting System (FAERS) data, components of the disproportionality method were preferable. DrugBank was the most used database for machine learning. Other methods accounted for the highest and supervised methods accounted for the second highest.\n\nConclusions:\nUsing the 72 main articles, this review provides guidelines on which databases are frequently utilized and which analysis methods can be connected. For statistical analysis, &gt;90% of the cases were analyzed by disproportionate or regression analysis with each spontaneous reporting system (SRS) data or electronic medical record (EMR) data; for machine learning research, however, there was a strong tendency to analyze various data combinations. Only half of the DrugBank database was occupied, and the k-nearest neighbor method accounted for the greatest proportion.","container-title":"Medicine","DOI":"10.1097/MD.0000000000029387","ISSN":"0025-7974","issue":"25","journalAbbreviation":"Medicine (Baltimore)","note":"PMID: 35758373\nPMCID: PMC9276413","page":"e29387","source":"PubMed Central","title":"Analyzing adverse drug reaction using statistical and machine learning methods","volume":"101","author":[{"family":"Kim","given":"Hae Reong"},{"family":"Sung","given":"MinDong"},{"family":"Park","given":"Ji Ae"},{"family":"Jeong","given":"Kyeongseob"},{"family":"Kim","given":"Ho Heon"},{"family":"Lee","given":"Suehyun"},{"family":"Park","given":"Yu Rang"}],"issued":{"date-parts":[["2022",6,24]]}}}],"schema":"https://github.com/citation-style-language/schema/raw/master/csl-citation.json"} </w:instrText>
      </w:r>
      <w:r>
        <w:rPr>
          <w:rFonts w:asciiTheme="majorBidi" w:hAnsiTheme="majorBidi" w:cstheme="majorBidi"/>
        </w:rPr>
        <w:fldChar w:fldCharType="separate"/>
      </w:r>
      <w:r w:rsidRPr="00DF15A7">
        <w:rPr>
          <w:rFonts w:ascii="Times New Roman" w:hAnsi="Times New Roman" w:cs="Times New Roman"/>
        </w:rPr>
        <w:t>(Kim et al., 2022)</w:t>
      </w:r>
      <w:r>
        <w:rPr>
          <w:rFonts w:asciiTheme="majorBidi" w:hAnsiTheme="majorBidi" w:cstheme="majorBidi"/>
        </w:rPr>
        <w:fldChar w:fldCharType="end"/>
      </w:r>
      <w:r w:rsidRPr="00DF15A7">
        <w:rPr>
          <w:rFonts w:asciiTheme="majorBidi" w:hAnsiTheme="majorBidi" w:cstheme="majorBidi"/>
        </w:rPr>
        <w:t xml:space="preserve">. </w:t>
      </w:r>
    </w:p>
    <w:p w14:paraId="778BA940" w14:textId="623BFE5F" w:rsidR="006F7614" w:rsidRDefault="006F7614" w:rsidP="006F7614">
      <w:pPr>
        <w:spacing w:line="360" w:lineRule="auto"/>
        <w:rPr>
          <w:rFonts w:asciiTheme="majorBidi" w:hAnsiTheme="majorBidi" w:cstheme="majorBidi"/>
        </w:rPr>
      </w:pPr>
      <w:r w:rsidRPr="002208D8">
        <w:rPr>
          <w:rFonts w:asciiTheme="majorBidi" w:hAnsiTheme="majorBidi" w:cstheme="majorBidi"/>
        </w:rPr>
        <w:t xml:space="preserve">Recent systematic reviews of </w:t>
      </w:r>
      <w:r w:rsidR="00846E30">
        <w:rPr>
          <w:rFonts w:asciiTheme="majorBidi" w:hAnsiTheme="majorBidi" w:cstheme="majorBidi"/>
        </w:rPr>
        <w:t>ML</w:t>
      </w:r>
      <w:r w:rsidRPr="002208D8">
        <w:rPr>
          <w:rFonts w:asciiTheme="majorBidi" w:hAnsiTheme="majorBidi" w:cstheme="majorBidi"/>
        </w:rPr>
        <w:t xml:space="preserve"> applications in pharmacovigilance </w:t>
      </w:r>
      <w:r>
        <w:rPr>
          <w:rFonts w:asciiTheme="majorBidi" w:hAnsiTheme="majorBidi" w:cstheme="majorBidi"/>
        </w:rPr>
        <w:t>indic</w:t>
      </w:r>
      <w:r w:rsidRPr="002208D8">
        <w:rPr>
          <w:rFonts w:asciiTheme="majorBidi" w:hAnsiTheme="majorBidi" w:cstheme="majorBidi"/>
        </w:rPr>
        <w:t xml:space="preserve">ate that ML-based models </w:t>
      </w:r>
      <w:r w:rsidR="00846E30">
        <w:rPr>
          <w:rFonts w:asciiTheme="majorBidi" w:hAnsiTheme="majorBidi" w:cstheme="majorBidi"/>
        </w:rPr>
        <w:t xml:space="preserve"> perform better than</w:t>
      </w:r>
      <w:r w:rsidRPr="002208D8">
        <w:rPr>
          <w:rFonts w:asciiTheme="majorBidi" w:hAnsiTheme="majorBidi" w:cstheme="majorBidi"/>
        </w:rPr>
        <w:t xml:space="preserve"> traditional statistical approaches for ADR prediction, </w:t>
      </w:r>
      <w:r w:rsidR="00CB0610">
        <w:rPr>
          <w:rFonts w:asciiTheme="majorBidi" w:hAnsiTheme="majorBidi" w:cstheme="majorBidi"/>
        </w:rPr>
        <w:t xml:space="preserve">this is seen particularly </w:t>
      </w:r>
      <w:r w:rsidRPr="002208D8">
        <w:rPr>
          <w:rFonts w:asciiTheme="majorBidi" w:hAnsiTheme="majorBidi" w:cstheme="majorBidi"/>
        </w:rPr>
        <w:t>when applied to structured</w:t>
      </w:r>
      <w:r w:rsidR="00F006F1">
        <w:rPr>
          <w:rFonts w:asciiTheme="majorBidi" w:hAnsiTheme="majorBidi" w:cstheme="majorBidi"/>
        </w:rPr>
        <w:t xml:space="preserve"> </w:t>
      </w:r>
      <w:r w:rsidR="00F006F1" w:rsidRPr="00980F9C">
        <w:rPr>
          <w:rFonts w:asciiTheme="majorBidi" w:hAnsiTheme="majorBidi" w:cstheme="majorBidi"/>
        </w:rPr>
        <w:t>electronic health record</w:t>
      </w:r>
      <w:r w:rsidRPr="002208D8">
        <w:rPr>
          <w:rFonts w:asciiTheme="majorBidi" w:hAnsiTheme="majorBidi" w:cstheme="majorBidi"/>
        </w:rPr>
        <w:t xml:space="preserve"> </w:t>
      </w:r>
      <w:r w:rsidR="00F006F1">
        <w:rPr>
          <w:rFonts w:asciiTheme="majorBidi" w:hAnsiTheme="majorBidi" w:cstheme="majorBidi"/>
        </w:rPr>
        <w:t>(EHR)</w:t>
      </w:r>
      <w:r w:rsidRPr="002208D8">
        <w:rPr>
          <w:rFonts w:asciiTheme="majorBidi" w:hAnsiTheme="majorBidi" w:cstheme="majorBidi"/>
        </w:rPr>
        <w:t xml:space="preserve"> data</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{"citationID":"jrxvZrKT","properties":{"formattedCitation":"(Pilipiec et al., 2022)","plainCitation":"(Pilipiec et al., 2022)","noteIndex":0},"citationItems":[{"id":640,"uris":["http://zotero.org/users/13727123/items/RTVRMJ3J"],"itemData":{"id":640,"type":"article-journal","abstract":"Pharmacovigilance is a science that involves the ongoing monitoring of adverse drug reactions to existing medicines. Traditional approaches in this fi...","container-title":"Pharmaceutics","DOI":"10.3390/pharmaceutics14020266","ISSN":"1999-4923","issue":"2","language":"en","license":"http://creativecommons.org/licenses/by/3.0/","note":"Company: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publisher","source":"www.mdpi.com","title":"Using Machine Learning for Pharmacovigilance: A Systematic Review","title-short":"Using Machine Learning for Pharmacovigilance","URL":"https://www.mdpi.com/1999-4923/14/2/266","volume":"14","author":[{"family":"Pilipiec","given":"Patrick"},{"family":"Liwicki","given":"Marcus"},{"family":"Bota","given":"András"},{"family":"Pilipiec","given":"Patrick"},{"family":"Liwicki","given":"Marcus"},{"family":"Bota","given":"András"}],"accessed":{"date-parts":[["2026",1,9]]},"issued":{"date-parts":[["2022",1,22]]}}}],"schema":"https://github.com/citation-style-language/schema/raw/master/csl-citation.json"} </w:instrText>
      </w:r>
      <w:r>
        <w:rPr>
          <w:rFonts w:asciiTheme="majorBidi" w:hAnsiTheme="majorBidi" w:cstheme="majorBidi"/>
        </w:rPr>
        <w:fldChar w:fldCharType="separate"/>
      </w:r>
      <w:r w:rsidRPr="00F30B8A">
        <w:rPr>
          <w:rFonts w:ascii="Times New Roman" w:hAnsi="Times New Roman" w:cs="Times New Roman"/>
        </w:rPr>
        <w:t>(Pilipiec et al., 2022)</w:t>
      </w:r>
      <w:r>
        <w:rPr>
          <w:rFonts w:asciiTheme="majorBidi" w:hAnsiTheme="majorBidi" w:cstheme="majorBidi"/>
        </w:rPr>
        <w:fldChar w:fldCharType="end"/>
      </w:r>
      <w:r>
        <w:rPr>
          <w:rFonts w:asciiTheme="majorBidi" w:hAnsiTheme="majorBidi" w:cstheme="majorBidi"/>
        </w:rPr>
        <w:t xml:space="preserve">. </w:t>
      </w:r>
      <w:r w:rsidRPr="00980F9C">
        <w:rPr>
          <w:rFonts w:asciiTheme="majorBidi" w:hAnsiTheme="majorBidi" w:cstheme="majorBidi"/>
        </w:rPr>
        <w:t>A systematic review and meta-analysis by Hu et al.</w:t>
      </w:r>
      <w:r>
        <w:rPr>
          <w:rFonts w:asciiTheme="majorBidi" w:hAnsiTheme="majorBidi" w:cstheme="majorBidi"/>
        </w:rPr>
        <w:t xml:space="preserve"> (</w:t>
      </w:r>
      <w:r w:rsidRPr="00980F9C">
        <w:rPr>
          <w:rFonts w:asciiTheme="majorBidi" w:hAnsiTheme="majorBidi" w:cstheme="majorBidi"/>
        </w:rPr>
        <w:t xml:space="preserve">2024) </w:t>
      </w:r>
      <w:r>
        <w:rPr>
          <w:rFonts w:asciiTheme="majorBidi" w:hAnsiTheme="majorBidi" w:cstheme="majorBidi"/>
        </w:rPr>
        <w:t>foun</w:t>
      </w:r>
      <w:r w:rsidRPr="00980F9C">
        <w:rPr>
          <w:rFonts w:asciiTheme="majorBidi" w:hAnsiTheme="majorBidi" w:cstheme="majorBidi"/>
        </w:rPr>
        <w:t>d that ML-based approaches often achieve higher discriminat</w:t>
      </w:r>
      <w:r>
        <w:rPr>
          <w:rFonts w:asciiTheme="majorBidi" w:hAnsiTheme="majorBidi" w:cstheme="majorBidi"/>
        </w:rPr>
        <w:t>ion</w:t>
      </w:r>
      <w:r w:rsidRPr="00980F9C">
        <w:rPr>
          <w:rFonts w:asciiTheme="majorBidi" w:hAnsiTheme="majorBidi" w:cstheme="majorBidi"/>
        </w:rPr>
        <w:t xml:space="preserve"> than traditional logistic regression. Despite these improvements, the authors noted substantial heterogeneity across studies in terms of datasets</w:t>
      </w:r>
      <w:r>
        <w:rPr>
          <w:rFonts w:asciiTheme="majorBidi" w:hAnsiTheme="majorBidi" w:cstheme="majorBidi"/>
        </w:rPr>
        <w:t xml:space="preserve">. </w:t>
      </w:r>
      <w:r w:rsidRPr="00F30B8A">
        <w:rPr>
          <w:rFonts w:asciiTheme="majorBidi" w:hAnsiTheme="majorBidi" w:cstheme="majorBidi"/>
        </w:rPr>
        <w:t>Studies using routinely collected EHR data have shown that incorporating laboratory and medication-related variables can improve ADR prediction performance, although generalisability remains dependent on dataset characteristics and validation strategy</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{"citationID":"Ucu5IM6I","properties":{"formattedCitation":"(Hu et al., 2024)","plainCitation":"(Hu et al., 2024)","noteIndex":0},"citationItems":[{"id":558,"uris":["http://zotero.org/users/13727123/items/5IYFMAQ3"],"itemData":{"id":558,"type":"article-journal","abstract":"Adverse drug events (ADEs) pose a significant challenge in current clinical practice. Machine learning (ML) has been increasingly used to predict specific ADEs using electronic health record (EHR) data. This systematic review provides a comprehensive overview of the application of ML in predicting specific ADEs based on EHR data.A systematic search of PubMed, Web of Science, Embase, and IEEE Xplore was conducted to identify relevant articles published from the inception to May 20, 2024. Studies that developed ML models for predicting specific ADEs or ADEs associated with particular drugs were included using EHR data.A total of 59 studies met the inclusion criteria, covering 15 drugs and 15 ADEs. In total, 38 machine learning algorithms were reported, with random forest (RF) being the most frequently used, followed by support vector machine (SVM), eXtreme gradient boosting (XGBoost), decision tree (DT), and light gradient boosting machine (LightGBM). The performance of the ML models was generally strong, with an average area under the curve (AUC) of 76.68% ± 10.73, accuracy of 76.00% ± 11.26, precision of 60.13% ± 24.81, sensitivity of 62.35% ± 20.19, specificity of 75.13% ± 16.60, and an F1 score of 52.60% ± 21.10. The combined sensitivity, specificity, diagnostic odds ratio (DOR), and AUC from the summary receiver operating characteristic (SROC) curve using a random effects model were 0.65 (95% CI: 0.65-0.66), 0.89 (95% CI: 0.89-0.90), 12.11 (95% CI: 8.17-17.95), and 0.8069, respectively. The risk factors associated with different drugs and ADEs varied.Future research should focus on improving standardization, conducting multicenter studies that incorporate diverse data types, and evaluating the impact of artificial intelligence predictive models in real-world clinical settings.https://www.crd.york.ac.uk/PROSPERO/ #recordDetails, identifier CRD42024565842.","container-title":"Frontiers in Pharmacology","DOI":"10.3389/fphar.2024.1497397","ISSN":"1663-9812","journalAbbreviation":"Front. Pharmacol.","language":"English","note":"publisher: Frontiers","source":"Frontiers","title":"Predicting adverse drug event using machine learning based on electronic health records: a systematic review and meta-analysis","title-short":"Predicting adverse drug event using machine learning based on electronic health records","URL":"https://www.frontiersin.org/journals/pharmacology/articles/10.3389/fphar.2024.1497397/full","volume":"15","author":[{"family":"Hu","given":"Qiaozhi"},{"family":"Chen","given":"Yuxian"},{"family":"Zou","given":"Dan"},{"family":"He","given":"Zhiyao"},{"family":"Xu","given":"Ting"}],"accessed":{"date-parts":[["2025",12,11]]},"issued":{"date-parts":[["2024",11,13]]}}}],"schema":"https://github.com/citation-style-language/schema/raw/master/csl-citation.json"} </w:instrText>
      </w:r>
      <w:r>
        <w:rPr>
          <w:rFonts w:asciiTheme="majorBidi" w:hAnsiTheme="majorBidi" w:cstheme="majorBidi"/>
        </w:rPr>
        <w:fldChar w:fldCharType="separate"/>
      </w:r>
      <w:r w:rsidRPr="00F30B8A">
        <w:rPr>
          <w:rFonts w:ascii="Times New Roman" w:hAnsi="Times New Roman" w:cs="Times New Roman"/>
        </w:rPr>
        <w:t>(Hu et al., 2024)</w:t>
      </w:r>
      <w:r>
        <w:rPr>
          <w:rFonts w:asciiTheme="majorBidi" w:hAnsiTheme="majorBidi" w:cstheme="majorBidi"/>
        </w:rPr>
        <w:fldChar w:fldCharType="end"/>
      </w:r>
      <w:r>
        <w:rPr>
          <w:rFonts w:asciiTheme="majorBidi" w:hAnsiTheme="majorBidi" w:cstheme="majorBidi"/>
        </w:rPr>
        <w:t>.</w:t>
      </w:r>
    </w:p>
    <w:p w14:paraId="43E8F5A2" w14:textId="6F3B32E1" w:rsidR="006F7614" w:rsidRPr="00980F9C" w:rsidRDefault="006F7614" w:rsidP="006F7614">
      <w:pPr>
        <w:spacing w:line="360" w:lineRule="auto"/>
        <w:rPr>
          <w:rFonts w:asciiTheme="majorBidi" w:hAnsiTheme="majorBidi" w:cstheme="majorBidi"/>
        </w:rPr>
      </w:pPr>
      <w:r w:rsidRPr="00980F9C">
        <w:rPr>
          <w:rFonts w:asciiTheme="majorBidi" w:hAnsiTheme="majorBidi" w:cstheme="majorBidi"/>
        </w:rPr>
        <w:t xml:space="preserve">This </w:t>
      </w:r>
      <w:r w:rsidR="00F006F1" w:rsidRPr="00980F9C">
        <w:rPr>
          <w:rFonts w:asciiTheme="majorBidi" w:hAnsiTheme="majorBidi" w:cstheme="majorBidi"/>
        </w:rPr>
        <w:t>unpredictability</w:t>
      </w:r>
      <w:r w:rsidRPr="00980F9C">
        <w:rPr>
          <w:rFonts w:asciiTheme="majorBidi" w:hAnsiTheme="majorBidi" w:cstheme="majorBidi"/>
        </w:rPr>
        <w:t xml:space="preserve"> limits </w:t>
      </w:r>
      <w:r w:rsidR="00FE44B8">
        <w:rPr>
          <w:rFonts w:asciiTheme="majorBidi" w:hAnsiTheme="majorBidi" w:cstheme="majorBidi"/>
        </w:rPr>
        <w:t xml:space="preserve">comparison </w:t>
      </w:r>
      <w:r w:rsidRPr="00980F9C">
        <w:rPr>
          <w:rFonts w:asciiTheme="majorBidi" w:hAnsiTheme="majorBidi" w:cstheme="majorBidi"/>
        </w:rPr>
        <w:t>between models</w:t>
      </w:r>
      <w:r w:rsidR="00F006F1">
        <w:rPr>
          <w:rFonts w:asciiTheme="majorBidi" w:hAnsiTheme="majorBidi" w:cstheme="majorBidi"/>
        </w:rPr>
        <w:t xml:space="preserve">, </w:t>
      </w:r>
      <w:r w:rsidR="00FE44B8">
        <w:rPr>
          <w:rFonts w:asciiTheme="majorBidi" w:hAnsiTheme="majorBidi" w:cstheme="majorBidi"/>
        </w:rPr>
        <w:t xml:space="preserve">which raises </w:t>
      </w:r>
      <w:r w:rsidRPr="00980F9C">
        <w:rPr>
          <w:rFonts w:asciiTheme="majorBidi" w:hAnsiTheme="majorBidi" w:cstheme="majorBidi"/>
        </w:rPr>
        <w:t xml:space="preserve">concerns </w:t>
      </w:r>
      <w:r>
        <w:rPr>
          <w:rFonts w:asciiTheme="majorBidi" w:hAnsiTheme="majorBidi" w:cstheme="majorBidi"/>
        </w:rPr>
        <w:t>about</w:t>
      </w:r>
      <w:r w:rsidRPr="00980F9C">
        <w:rPr>
          <w:rFonts w:asciiTheme="majorBidi" w:hAnsiTheme="majorBidi" w:cstheme="majorBidi"/>
        </w:rPr>
        <w:t xml:space="preserve"> reproducibility and generalisability. </w:t>
      </w:r>
      <w:r>
        <w:rPr>
          <w:rFonts w:asciiTheme="majorBidi" w:hAnsiTheme="majorBidi" w:cstheme="majorBidi"/>
        </w:rPr>
        <w:t xml:space="preserve">As previously </w:t>
      </w:r>
      <w:r>
        <w:rPr>
          <w:rFonts w:asciiTheme="majorBidi" w:hAnsiTheme="majorBidi" w:cstheme="majorBidi"/>
          <w:kern w:val="0"/>
          <w14:ligatures w14:val="none"/>
        </w:rPr>
        <w:t xml:space="preserve">discussed, reliance on global performance metrics limits clinical interpretability, often </w:t>
      </w:r>
      <w:r w:rsidR="004F4200">
        <w:rPr>
          <w:rFonts w:asciiTheme="majorBidi" w:hAnsiTheme="majorBidi" w:cstheme="majorBidi"/>
          <w:kern w:val="0"/>
          <w14:ligatures w14:val="none"/>
        </w:rPr>
        <w:t>lead</w:t>
      </w:r>
      <w:r>
        <w:rPr>
          <w:rFonts w:asciiTheme="majorBidi" w:hAnsiTheme="majorBidi" w:cstheme="majorBidi"/>
          <w:kern w:val="0"/>
          <w14:ligatures w14:val="none"/>
        </w:rPr>
        <w:t>ing</w:t>
      </w:r>
      <w:r w:rsidR="004F4200">
        <w:rPr>
          <w:rFonts w:asciiTheme="majorBidi" w:hAnsiTheme="majorBidi" w:cstheme="majorBidi"/>
          <w:kern w:val="0"/>
          <w14:ligatures w14:val="none"/>
        </w:rPr>
        <w:t xml:space="preserve"> to</w:t>
      </w:r>
      <w:r>
        <w:rPr>
          <w:rFonts w:asciiTheme="majorBidi" w:hAnsiTheme="majorBidi" w:cstheme="majorBidi"/>
          <w:kern w:val="0"/>
          <w14:ligatures w14:val="none"/>
        </w:rPr>
        <w:t xml:space="preserve"> </w:t>
      </w:r>
      <w:r w:rsidR="00F006F1">
        <w:rPr>
          <w:rFonts w:asciiTheme="majorBidi" w:hAnsiTheme="majorBidi" w:cstheme="majorBidi"/>
          <w:kern w:val="0"/>
          <w14:ligatures w14:val="none"/>
        </w:rPr>
        <w:t xml:space="preserve">a lack of </w:t>
      </w:r>
      <w:r w:rsidRPr="00980F9C">
        <w:rPr>
          <w:rFonts w:asciiTheme="majorBidi" w:hAnsiTheme="majorBidi" w:cstheme="majorBidi"/>
        </w:rPr>
        <w:t xml:space="preserve">consideration </w:t>
      </w:r>
      <w:r w:rsidR="00F006F1">
        <w:rPr>
          <w:rFonts w:asciiTheme="majorBidi" w:hAnsiTheme="majorBidi" w:cstheme="majorBidi"/>
        </w:rPr>
        <w:t xml:space="preserve">in regard to </w:t>
      </w:r>
      <w:r w:rsidRPr="00980F9C">
        <w:rPr>
          <w:rFonts w:asciiTheme="majorBidi" w:hAnsiTheme="majorBidi" w:cstheme="majorBidi"/>
        </w:rPr>
        <w:t xml:space="preserve">class imbalance </w:t>
      </w:r>
      <w:r w:rsidR="004F4200">
        <w:rPr>
          <w:rFonts w:asciiTheme="majorBidi" w:hAnsiTheme="majorBidi" w:cstheme="majorBidi"/>
        </w:rPr>
        <w:t>and</w:t>
      </w:r>
      <w:r w:rsidRPr="00980F9C">
        <w:rPr>
          <w:rFonts w:asciiTheme="majorBidi" w:hAnsiTheme="majorBidi" w:cstheme="majorBidi"/>
        </w:rPr>
        <w:t xml:space="preserve"> the asymmetric </w:t>
      </w:r>
      <w:r w:rsidRPr="00980F9C">
        <w:rPr>
          <w:rFonts w:asciiTheme="majorBidi" w:hAnsiTheme="majorBidi" w:cstheme="majorBidi"/>
        </w:rPr>
        <w:lastRenderedPageBreak/>
        <w:t>clinical consequences of misclassification</w:t>
      </w:r>
      <w:r w:rsidR="00F006F1">
        <w:rPr>
          <w:rFonts w:asciiTheme="majorBidi" w:hAnsiTheme="majorBidi" w:cstheme="majorBidi"/>
        </w:rPr>
        <w:t xml:space="preserve">, specifically </w:t>
      </w:r>
      <w:r w:rsidRPr="00980F9C">
        <w:rPr>
          <w:rFonts w:asciiTheme="majorBidi" w:hAnsiTheme="majorBidi" w:cstheme="majorBidi"/>
        </w:rPr>
        <w:t>false negatives in ADR detection.</w:t>
      </w:r>
      <w:r>
        <w:rPr>
          <w:rFonts w:asciiTheme="majorBidi" w:hAnsiTheme="majorBidi" w:cstheme="majorBidi"/>
        </w:rPr>
        <w:t xml:space="preserve"> </w:t>
      </w:r>
      <w:r w:rsidRPr="00DF15A7">
        <w:rPr>
          <w:rFonts w:asciiTheme="majorBidi" w:hAnsiTheme="majorBidi" w:cstheme="majorBidi"/>
        </w:rPr>
        <w:t xml:space="preserve">Similar concerns are </w:t>
      </w:r>
      <w:r w:rsidR="00F006F1" w:rsidRPr="00DF15A7">
        <w:rPr>
          <w:rFonts w:asciiTheme="majorBidi" w:hAnsiTheme="majorBidi" w:cstheme="majorBidi"/>
        </w:rPr>
        <w:t>reiterated</w:t>
      </w:r>
      <w:r w:rsidRPr="00DF15A7">
        <w:rPr>
          <w:rFonts w:asciiTheme="majorBidi" w:hAnsiTheme="majorBidi" w:cstheme="majorBidi"/>
        </w:rPr>
        <w:t xml:space="preserve"> across multiple systematic reviews, which report that external validation is performed in only a minority of studies and that sensitivity-oriented metrics are rarely prioritised, </w:t>
      </w:r>
      <w:r w:rsidR="00F006F1">
        <w:rPr>
          <w:rFonts w:asciiTheme="majorBidi" w:hAnsiTheme="majorBidi" w:cstheme="majorBidi"/>
        </w:rPr>
        <w:t xml:space="preserve">even though they are </w:t>
      </w:r>
      <w:r w:rsidRPr="00DF15A7">
        <w:rPr>
          <w:rFonts w:asciiTheme="majorBidi" w:hAnsiTheme="majorBidi" w:cstheme="majorBidi"/>
        </w:rPr>
        <w:t>clear</w:t>
      </w:r>
      <w:r w:rsidR="00F006F1">
        <w:rPr>
          <w:rFonts w:asciiTheme="majorBidi" w:hAnsiTheme="majorBidi" w:cstheme="majorBidi"/>
        </w:rPr>
        <w:t>ly</w:t>
      </w:r>
      <w:r w:rsidRPr="00DF15A7">
        <w:rPr>
          <w:rFonts w:asciiTheme="majorBidi" w:hAnsiTheme="majorBidi" w:cstheme="majorBidi"/>
        </w:rPr>
        <w:t xml:space="preserve"> relevan</w:t>
      </w:r>
      <w:r w:rsidR="00F006F1">
        <w:rPr>
          <w:rFonts w:asciiTheme="majorBidi" w:hAnsiTheme="majorBidi" w:cstheme="majorBidi"/>
        </w:rPr>
        <w:t>t</w:t>
      </w:r>
      <w:r w:rsidRPr="00DF15A7">
        <w:rPr>
          <w:rFonts w:asciiTheme="majorBidi" w:hAnsiTheme="majorBidi" w:cstheme="majorBidi"/>
        </w:rPr>
        <w:t xml:space="preserve"> to patient safety and harm prevention</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{"citationID":"0CT6aTfL","properties":{"formattedCitation":"(Dsouza et al., 2025a; Kim et al., 2022)","plainCitation":"(Dsouza et al., 2025a; Kim et al., 2022)","dontUpdate":true,"noteIndex":0},"citationItems":[{"id":"EtHRhwhX/MRglXfuE","uris":["http://zotero.org/users/13727123/items/QFRHNBQW"],"itemData":{"id":615,"type":"article-journal","abstract":"Introduction\nAdverse drug reactions (ADRs) significantly impact healthcare systems, leading to increased hospitalization rates and costs. With the growing adoption of artificial intelligence (AI) in healthcare, machine learning (ML) models offer promising solutions for ADR prediction. However, comprehensive evaluations of these models remain limited.\nMethods\nThis systematic review synthesized findings from 13 studies that utilized various ML algorithms (regression-based, flexible, and ensemble models) to predict ADRs using data such as patient demographics, laboratory values, and comorbidities. Meta-analysis was conducted to assess the pooled sensitivity and specificity of the models, and a co-authorship and keyword analysis was performed to examine collaborative networks within the field.\nResults\nThe included studies primarily focused on model development (77 %), with only 23 % incorporating external validation, raising concerns about generalizability across clinical contexts. Meta-analysis showed pooled sensitivity and specificity of 78.1 % and 70.6 % for development-only studies, while studies with external validation achieved higher sensitivity (81.5 %) and specificity (79.5 %). Co-authorship analysis identified 67 contributors across eight collaboration clusters, indicating a specialized but emerging research field.\nDiscussion\nThe findings highlight the need for multifactorial models that integrate diverse predictors to improve the performance and reliability of ML-based ADR prediction. Addressing these limitations through rigorous model development and validation processes could enhance the clinical applicability of AI-driven pharmacovigilance, ultimately advancing patient safety and healthcare outcomes.","container-title":"Research in Social and Administrative Pharmacy","DOI":"10.1016/j.sapharm.2025.02.008","ISSN":"1551-7411","issue":"6","journalAbbreviation":"Research in Social and Administrative Pharmacy","page":"453-462","source":"ScienceDirect","title":"Artificial intelligence (AI) in pharmacovigilance: A systematic review on predicting adverse drug reactions (ADR) in hospitalized patients","title-short":"Artificial intelligence (AI) in pharmacovigilance","volume":"21","author":[{"family":"Dsouza","given":"Viola Savy"},{"family":"Leyens","given":"Lada"},{"family":"Kurian","given":"Jestina Rachel"},{"family":"Brand","given":"Angela"},{"family":"Brand","given":"Helmut"}],"issued":{"date-parts":[["2025",6,1]]}}},{"id":612,"uris":["http://zotero.org/users/13727123/items/TESLCD4Q"],"itemData":{"id":612,"type":"article-journal","abstract":"Background:\nAdverse drug reactions (ADRs) are unintended negative drug-induced responses. Determining the association between drugs and ADRs is crucial, and several methods have been proposed to demonstrate this association. This systematic review aimed to examine the analytical tools by considering original articles that utilized statistical and machine learning methods for detecting ADRs.\n\nMethods:\nA systematic literature review was conducted based on articles published between 2015 and 2020. The keywords used were statistical, machine learning, and deep learning methods for detecting ADR signals. The study was conducted according to the Preferred Reporting Items for Systematic Reviews and Meta-Analyses statement (PRISMA) guidelines.\n\nResults:\nWe reviewed 72 articles, of which 51 and 21 addressed statistical and machine learning methods, respectively. Electronic medical record (EMR) data were exclusively analyzed using the regression method. For FDA Adverse Event Reporting System (FAERS) data, components of the disproportionality method were preferable. DrugBank was the most used database for machine learning. Other methods accounted for the highest and supervised methods accounted for the second highest.\n\nConclusions:\nUsing the 72 main articles, this review provides guidelines on which databases are frequently utilized and which analysis methods can be connected. For statistical analysis, &gt;90% of the cases were analyzed by disproportionate or regression analysis with each spontaneous reporting system (SRS) data or electronic medical record (EMR) data; for machine learning research, however, there was a strong tendency to analyze various data combinations. Only half of the DrugBank database was occupied, and the k-nearest neighbor method accounted for the greatest proportion.","container-title":"Medicine","DOI":"10.1097/MD.0000000000029387","ISSN":"0025-7974","issue":"25","journalAbbreviation":"Medicine (Baltimore)","note":"PMID: 35758373\nPMCID: PMC9276413","page":"e29387","source":"PubMed Central","title":"Analyzing adverse drug reaction using statistical and machine learning methods","volume":"101","author":[{"family":"Kim","given":"Hae Reong"},{"family":"Sung","given":"MinDong"},{"family":"Park","given":"Ji Ae"},{"family":"Jeong","given":"Kyeongseob"},{"family":"Kim","given":"Ho Heon"},{"family":"Lee","given":"Suehyun"},{"family":"Park","given":"Yu Rang"}],"issued":{"date-parts":[["2022",6,24]]}}}],"schema":"https://github.com/citation-style-language/schema/raw/master/csl-citation.json"} </w:instrText>
      </w:r>
      <w:r>
        <w:rPr>
          <w:rFonts w:asciiTheme="majorBidi" w:hAnsiTheme="majorBidi" w:cstheme="majorBidi"/>
        </w:rPr>
        <w:fldChar w:fldCharType="separate"/>
      </w:r>
      <w:r w:rsidRPr="00DF15A7">
        <w:rPr>
          <w:rFonts w:ascii="Times New Roman" w:hAnsi="Times New Roman" w:cs="Times New Roman"/>
        </w:rPr>
        <w:t>(Dsouza et al., 2025; Kim et al., 2022)</w:t>
      </w:r>
      <w:r>
        <w:rPr>
          <w:rFonts w:asciiTheme="majorBidi" w:hAnsiTheme="majorBidi" w:cstheme="majorBidi"/>
        </w:rPr>
        <w:fldChar w:fldCharType="end"/>
      </w:r>
      <w:r>
        <w:rPr>
          <w:rFonts w:asciiTheme="majorBidi" w:hAnsiTheme="majorBidi" w:cstheme="majorBidi"/>
        </w:rPr>
        <w:t>.</w:t>
      </w:r>
      <w:r w:rsidR="004F4200">
        <w:rPr>
          <w:rFonts w:asciiTheme="majorBidi" w:hAnsiTheme="majorBidi" w:cstheme="majorBidi"/>
        </w:rPr>
        <w:t xml:space="preserve"> Together, these limitations highlight the need for evaluation strategies that prioritise clinically meaningful metrics, </w:t>
      </w:r>
      <w:r w:rsidR="00F006F1">
        <w:rPr>
          <w:rFonts w:asciiTheme="majorBidi" w:hAnsiTheme="majorBidi" w:cstheme="majorBidi"/>
        </w:rPr>
        <w:t>such as</w:t>
      </w:r>
      <w:r w:rsidR="004F4200">
        <w:rPr>
          <w:rFonts w:asciiTheme="majorBidi" w:hAnsiTheme="majorBidi" w:cstheme="majorBidi"/>
        </w:rPr>
        <w:t xml:space="preserve"> recall and sensitivity, rather than relying </w:t>
      </w:r>
      <w:r w:rsidR="00F006F1">
        <w:rPr>
          <w:rFonts w:asciiTheme="majorBidi" w:hAnsiTheme="majorBidi" w:cstheme="majorBidi"/>
        </w:rPr>
        <w:t xml:space="preserve">solely </w:t>
      </w:r>
      <w:r w:rsidR="004F4200">
        <w:rPr>
          <w:rFonts w:asciiTheme="majorBidi" w:hAnsiTheme="majorBidi" w:cstheme="majorBidi"/>
        </w:rPr>
        <w:t xml:space="preserve">on aggregate performance measures. This consideration directly </w:t>
      </w:r>
      <w:r w:rsidR="00F006F1">
        <w:rPr>
          <w:rFonts w:asciiTheme="majorBidi" w:hAnsiTheme="majorBidi" w:cstheme="majorBidi"/>
        </w:rPr>
        <w:t xml:space="preserve">affects </w:t>
      </w:r>
      <w:r w:rsidR="004F4200">
        <w:rPr>
          <w:rFonts w:asciiTheme="majorBidi" w:hAnsiTheme="majorBidi" w:cstheme="majorBidi"/>
        </w:rPr>
        <w:t xml:space="preserve">the evaluation framework adopted in the present study.  </w:t>
      </w:r>
    </w:p>
    <w:p w14:paraId="5B242B94" w14:textId="67F39E34" w:rsidR="006F7614" w:rsidRDefault="006F7614" w:rsidP="006F7614">
      <w:pPr>
        <w:spacing w:line="360" w:lineRule="auto"/>
        <w:rPr>
          <w:rFonts w:asciiTheme="majorBidi" w:hAnsiTheme="majorBidi" w:cstheme="majorBidi"/>
        </w:rPr>
      </w:pPr>
      <w:r>
        <w:rPr>
          <w:rFonts w:asciiTheme="majorBidi" w:hAnsiTheme="majorBidi" w:cstheme="majorBidi"/>
        </w:rPr>
        <w:t>S</w:t>
      </w:r>
      <w:r w:rsidRPr="00980F9C">
        <w:rPr>
          <w:rFonts w:asciiTheme="majorBidi" w:hAnsiTheme="majorBidi" w:cstheme="majorBidi"/>
        </w:rPr>
        <w:t xml:space="preserve">everal studies have </w:t>
      </w:r>
      <w:r>
        <w:rPr>
          <w:rFonts w:asciiTheme="majorBidi" w:hAnsiTheme="majorBidi" w:cstheme="majorBidi"/>
        </w:rPr>
        <w:t>sought</w:t>
      </w:r>
      <w:r w:rsidRPr="00980F9C">
        <w:rPr>
          <w:rFonts w:asciiTheme="majorBidi" w:hAnsiTheme="majorBidi" w:cstheme="majorBidi"/>
        </w:rPr>
        <w:t xml:space="preserve"> to address the rarity of ADRs by </w:t>
      </w:r>
      <w:r>
        <w:rPr>
          <w:rFonts w:asciiTheme="majorBidi" w:hAnsiTheme="majorBidi" w:cstheme="majorBidi"/>
        </w:rPr>
        <w:t>us</w:t>
      </w:r>
      <w:r w:rsidRPr="00980F9C">
        <w:rPr>
          <w:rFonts w:asciiTheme="majorBidi" w:hAnsiTheme="majorBidi" w:cstheme="majorBidi"/>
        </w:rPr>
        <w:t xml:space="preserve">ing ensemble models or complex architectures. Zhao et al. (2022) </w:t>
      </w:r>
      <w:r>
        <w:rPr>
          <w:rFonts w:asciiTheme="majorBidi" w:hAnsiTheme="majorBidi" w:cstheme="majorBidi"/>
        </w:rPr>
        <w:t>show</w:t>
      </w:r>
      <w:r w:rsidRPr="00980F9C">
        <w:rPr>
          <w:rFonts w:asciiTheme="majorBidi" w:hAnsiTheme="majorBidi" w:cstheme="majorBidi"/>
        </w:rPr>
        <w:t xml:space="preserve">ed that combining feature selection with ensemble classifiers improved </w:t>
      </w:r>
      <w:r>
        <w:rPr>
          <w:rFonts w:asciiTheme="majorBidi" w:hAnsiTheme="majorBidi" w:cstheme="majorBidi"/>
        </w:rPr>
        <w:t xml:space="preserve">the </w:t>
      </w:r>
      <w:r w:rsidRPr="00980F9C">
        <w:rPr>
          <w:rFonts w:asciiTheme="majorBidi" w:hAnsiTheme="majorBidi" w:cstheme="majorBidi"/>
        </w:rPr>
        <w:t xml:space="preserve">detection of rare ADRs in pharmacovigilance databases. While such approaches can </w:t>
      </w:r>
      <w:r w:rsidR="00FC7DDE">
        <w:rPr>
          <w:rFonts w:asciiTheme="majorBidi" w:hAnsiTheme="majorBidi" w:cstheme="majorBidi"/>
        </w:rPr>
        <w:t>increase</w:t>
      </w:r>
      <w:r w:rsidRPr="00980F9C">
        <w:rPr>
          <w:rFonts w:asciiTheme="majorBidi" w:hAnsiTheme="majorBidi" w:cstheme="majorBidi"/>
        </w:rPr>
        <w:t xml:space="preserve"> predictive performance, they often come at the cost of interpretability. </w:t>
      </w:r>
      <w:r w:rsidRPr="00F30B8A">
        <w:rPr>
          <w:rFonts w:asciiTheme="majorBidi" w:hAnsiTheme="majorBidi" w:cstheme="majorBidi"/>
        </w:rPr>
        <w:t xml:space="preserve">Hospital-based studies applying machine learning classifiers to ADR prediction have reported improved sensitivity compared with conventional methods, but often </w:t>
      </w:r>
      <w:r w:rsidR="00FC7DDE">
        <w:rPr>
          <w:rFonts w:asciiTheme="majorBidi" w:hAnsiTheme="majorBidi" w:cstheme="majorBidi"/>
        </w:rPr>
        <w:t xml:space="preserve">there is a </w:t>
      </w:r>
      <w:r w:rsidRPr="00F30B8A">
        <w:rPr>
          <w:rFonts w:asciiTheme="majorBidi" w:hAnsiTheme="majorBidi" w:cstheme="majorBidi"/>
        </w:rPr>
        <w:t>cost of reduced interpretability and limit</w:t>
      </w:r>
      <w:r w:rsidR="00FC7DDE">
        <w:rPr>
          <w:rFonts w:asciiTheme="majorBidi" w:hAnsiTheme="majorBidi" w:cstheme="majorBidi"/>
        </w:rPr>
        <w:t>ations in the</w:t>
      </w:r>
      <w:r w:rsidRPr="00F30B8A">
        <w:rPr>
          <w:rFonts w:asciiTheme="majorBidi" w:hAnsiTheme="majorBidi" w:cstheme="majorBidi"/>
        </w:rPr>
        <w:t xml:space="preserve"> clinical adoption</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{"citationID":"NFgdnH3q","properties":{"formattedCitation":"(Nwokedi et al., 2025)","plainCitation":"(Nwokedi et al., 2025)","noteIndex":0},"citationItems":[{"id":642,"uris":["http://zotero.org/users/13727123/items/BHT2MI8I"],"itemData":{"id":642,"type":"article-journal","abstract":"Adverse drug reactions (ADRs) remain a major global challenge, contributing substantially to patient morbidity, mortality, and healthcare costs. Traditional pharmacovigilance approaches—spontaneous reporting and post-marketing surveillance—are hampered by underreporting, delays, and limited contextual data. The growing availability of electronic health records (EHRs), which capture longitudinal structured and unstructured patient information, presents an unprecedented opportunity to advance ADR prediction. This narrative review synthesizes recent progress in developing and validating predictive models that leverage EHRs, highlighting methodological approaches, challenges, and future directions. Predictive strategies range from traditional regression models to advanced machine learning and deep learning architectures, with multimodal frameworks increasingly integrating structured fields (demographics, labs, prescriptions) and unstructured clinical text through natural language processing. While ensemble and deep learning methods demonstrate superior performance, issues of data quality, missingness, bias, and interpretability persist. Robust validation frameworks—spanning internal cross-validation to multi-center external testing—are critical to ensure generalizability and clinical trustworthiness. Ethical considerations, including fairness, privacy, and transparency, remain central to safe deployment. Looking forward, promising avenues include federated learning across institutions, integration of multi-omics and pharmacogenomic data, explainable AI tailored for clinical use, and real-time monitoring through digital twin frameworks. These trajectories, combined with robust governance and clinician–data scientist collaboration, have the potential to transform ADR detection from a reactive process to proactive, personalized prevention. By synthesizing the existing evidence, this review provides insights into the development of more effective predictive models for ADRs and informs strategies for improving pharmacovigilance. This study will contribute to the ongoing efforts to leverage EHRs and predictive models for improving patient outcomes and reducing the burden of ADRs.","container-title":"Epidemiology and Health Data Insights","DOI":"10.63946/ehdi/17369","ISSN":"3080-8111","issue":"6","language":"english","note":"publisher: Australasia Publishing Group","page":"ehdi019","source":"www.journalehdi.com","title":"Developing and Validating Predictive Models for Adverse Drug Reactions using Electronic Health Records (EHRs): A Narrative Review","title-short":"Developing and Validating Predictive Models for Adverse Drug Reactions using Electronic Health Records (EHRs)","volume":"1","author":[{"family":"Nwokedi","given":"Vivian Ukamaka"},{"family":"Odedele","given":"Michael Kayode"},{"family":"Yusuff","given":"Taofeek Adeshina"},{"family":"Anderson","given":"Irene Adjoa"},{"family":"Akanbi","given":"Olukunle O."},{"family":"Agu","given":"Chiamaka Pamela"},{"family":"Omoike","given":"Amber Otibhor"}],"issued":{"date-parts":[["2025",11,3]]}}}],"schema":"https://github.com/citation-style-language/schema/raw/master/csl-citation.json"} </w:instrText>
      </w:r>
      <w:r>
        <w:rPr>
          <w:rFonts w:asciiTheme="majorBidi" w:hAnsiTheme="majorBidi" w:cstheme="majorBidi"/>
        </w:rPr>
        <w:fldChar w:fldCharType="separate"/>
      </w:r>
      <w:r w:rsidRPr="00A76F4C">
        <w:rPr>
          <w:rFonts w:ascii="Times New Roman" w:hAnsi="Times New Roman" w:cs="Times New Roman"/>
        </w:rPr>
        <w:t>(Nwokedi et al., 2025)</w:t>
      </w:r>
      <w:r>
        <w:rPr>
          <w:rFonts w:asciiTheme="majorBidi" w:hAnsiTheme="majorBidi" w:cstheme="majorBidi"/>
        </w:rPr>
        <w:fldChar w:fldCharType="end"/>
      </w:r>
      <w:r>
        <w:rPr>
          <w:rFonts w:asciiTheme="majorBidi" w:hAnsiTheme="majorBidi" w:cstheme="majorBidi"/>
        </w:rPr>
        <w:t>.</w:t>
      </w:r>
    </w:p>
    <w:p w14:paraId="15A8C3E8" w14:textId="74641C4F" w:rsidR="006F7614" w:rsidRDefault="006F7614" w:rsidP="006F7614">
      <w:pPr>
        <w:spacing w:line="360" w:lineRule="auto"/>
        <w:rPr>
          <w:rFonts w:asciiTheme="majorBidi" w:hAnsiTheme="majorBidi" w:cstheme="majorBidi"/>
        </w:rPr>
      </w:pPr>
      <w:r w:rsidRPr="00980F9C">
        <w:rPr>
          <w:rFonts w:asciiTheme="majorBidi" w:hAnsiTheme="majorBidi" w:cstheme="majorBidi"/>
        </w:rPr>
        <w:t>In clinical settings,</w:t>
      </w:r>
      <w:r w:rsidR="00FC7DDE">
        <w:rPr>
          <w:rFonts w:asciiTheme="majorBidi" w:hAnsiTheme="majorBidi" w:cstheme="majorBidi"/>
        </w:rPr>
        <w:t xml:space="preserve"> a lack of</w:t>
      </w:r>
      <w:r w:rsidRPr="00980F9C">
        <w:rPr>
          <w:rFonts w:asciiTheme="majorBidi" w:hAnsiTheme="majorBidi" w:cstheme="majorBidi"/>
        </w:rPr>
        <w:t xml:space="preserve"> transparency may hinder</w:t>
      </w:r>
      <w:r w:rsidR="00FC7DDE">
        <w:rPr>
          <w:rFonts w:asciiTheme="majorBidi" w:hAnsiTheme="majorBidi" w:cstheme="majorBidi"/>
        </w:rPr>
        <w:t xml:space="preserve"> the</w:t>
      </w:r>
      <w:r w:rsidRPr="00980F9C">
        <w:rPr>
          <w:rFonts w:asciiTheme="majorBidi" w:hAnsiTheme="majorBidi" w:cstheme="majorBidi"/>
        </w:rPr>
        <w:t xml:space="preserve"> trust, acceptance, and regulatory approval. This trade-off between performance and explainability remains a central challenge in applying ML to drug safety</w:t>
      </w:r>
      <w:r w:rsidR="00FC7DDE">
        <w:rPr>
          <w:rFonts w:asciiTheme="majorBidi" w:hAnsiTheme="majorBidi" w:cstheme="majorBidi"/>
        </w:rPr>
        <w:t xml:space="preserve">, when </w:t>
      </w:r>
      <w:r w:rsidRPr="00980F9C">
        <w:rPr>
          <w:rFonts w:asciiTheme="majorBidi" w:hAnsiTheme="majorBidi" w:cstheme="majorBidi"/>
        </w:rPr>
        <w:t>model outputs are intended to inform clinical decision-making rather than retrospective signal detection.</w:t>
      </w:r>
      <w:r>
        <w:rPr>
          <w:rFonts w:asciiTheme="majorBidi" w:hAnsiTheme="majorBidi" w:cstheme="majorBidi"/>
        </w:rPr>
        <w:t xml:space="preserve"> </w:t>
      </w:r>
      <w:r w:rsidRPr="00DF15A7">
        <w:rPr>
          <w:rFonts w:asciiTheme="majorBidi" w:hAnsiTheme="majorBidi" w:cstheme="majorBidi"/>
        </w:rPr>
        <w:t xml:space="preserve">This challenge is further amplified in studies </w:t>
      </w:r>
      <w:r w:rsidR="00FC7DDE">
        <w:rPr>
          <w:rFonts w:asciiTheme="majorBidi" w:hAnsiTheme="majorBidi" w:cstheme="majorBidi"/>
        </w:rPr>
        <w:t xml:space="preserve">exploring </w:t>
      </w:r>
      <w:r w:rsidRPr="00DF15A7">
        <w:rPr>
          <w:rFonts w:asciiTheme="majorBidi" w:hAnsiTheme="majorBidi" w:cstheme="majorBidi"/>
        </w:rPr>
        <w:t xml:space="preserve">deep learning or hybrid architectures, </w:t>
      </w:r>
      <w:r w:rsidR="00FC7DDE">
        <w:rPr>
          <w:rFonts w:asciiTheme="majorBidi" w:hAnsiTheme="majorBidi" w:cstheme="majorBidi"/>
        </w:rPr>
        <w:t>they</w:t>
      </w:r>
      <w:r w:rsidRPr="00DF15A7">
        <w:rPr>
          <w:rFonts w:asciiTheme="majorBidi" w:hAnsiTheme="majorBidi" w:cstheme="majorBidi"/>
        </w:rPr>
        <w:t xml:space="preserve"> often report improved discrimination but provide limited insight into feature–outcome relationships, making clinical interpretation </w:t>
      </w:r>
      <w:r w:rsidR="00FC7DDE">
        <w:rPr>
          <w:rFonts w:asciiTheme="majorBidi" w:hAnsiTheme="majorBidi" w:cstheme="majorBidi"/>
        </w:rPr>
        <w:t>and regulatory use</w:t>
      </w:r>
      <w:r w:rsidRPr="00DF15A7">
        <w:rPr>
          <w:rFonts w:asciiTheme="majorBidi" w:hAnsiTheme="majorBidi" w:cstheme="majorBidi"/>
        </w:rPr>
        <w:t xml:space="preserve"> difficult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{"citationID":"rMv8YVrV","properties":{"formattedCitation":"(Khemani et al., 2025)","plainCitation":"(Khemani et al., 2025)","noteIndex":0},"citationItems":[{"id":618,"uris":["http://zotero.org/users/13727123/items/9QMHZNAT"],"itemData":{"id":618,"type":"article-journal","abstract":"In the healthcare industry, the ever-increasing volume of clinical trial data presents challenges for ensuring drug safety and detecting adverse drug reactions (ADRs). This study aims to address the challenge of accurately detecting Serious Adverse Events (SAEs) in pharmacovigilance, a critical component in ensuring drug safety during and after clinical trials. The key problem lies in the underreporting and delayed detection of Adverse Drug Reactions (ADRs) due to the heterogeneous nature of medical data, class imbalance, and the limited scope of traditional monitoring techniques. This study proposes a hybrid AI-driven framework that integrates structured (e.g., patient demographics, lab results) and unstructured data (e.g., clinical notes) to detect ADRs using advanced deep learning and NLP methods. The objective is to outperform traditional signal detection methods and provide interpretable predictions to aid clinicians in real-time. By leveraging advanced Machine Learning (ML) and Deep Learning (DL) techniques, including Random Forests, Gradient Boosting Machines, and Convolutional Neural Networks (CNNs), our model aims to identify potential ADRs across different patient subgroups. Through meticulous feature engineering and the application of techniques to address data imbalance, our model demonstrates improved accuracy and interpretability in predicting ADRs. The CNN model achieved an accuracy of 85 %, outperforming traditional models, such as Logistic Regression (78 %) and Support Vector Machines (80 %). These findings suggest that specific demographic and clinical factors significantly influence the likelihood of adverse reactions, offering valuable insights for targeted monitoring and risk mitigation strategies[11]. This research underscores the potential of predictive modeling to enhance pharmacovigilance efforts and ensure safer clinical trial outcomes.•The research methodology includes a comparison of supervised learning algorithms, such as Logistic Regression, Random Forest, Gradient Boost, CNN, and genetic algorithms, to identify patterns and anomalies in clinical trial data. BERT and GPT, were also employed to provide the functionality of textual interactions over medical data.•Performance metrics such as accuracy, precision, recall, and F1-score were systematically applied to evaluate each model’s performance. Among the models tested, the CNN model with BERT achieved the highest accuracy, providing valuable insights into the potential of deep learning for enhancing pharmacovigilance practices.•These findings suggest that an inclusion of diverse clinical data when supplied to advanced ML and NLP techniques can significantly improve the detection of ADRs, leading to better alignment with the fundamental principles of Good Clinical Practice (GCP).","container-title":"MethodsX","DOI":"10.1016/j.mex.2025.103460","ISSN":"2215-0161","journalAbbreviation":"MethodsX","page":"103460","source":"ScienceDirect","title":"AI-driven pharmacovigilance: Enhancing adverse drug reaction detection with deep learning and NLP","title-short":"AI-driven pharmacovigilance","volume":"15","author":[{"family":"Khemani","given":"Dr. Bharti"},{"family":"Malave","given":"Dr. Sachin"},{"family":"Shinde","given":"Samyukta"},{"family":"Shukla","given":"Mandvi"},{"family":"Shikalgar","given":"Razzaq"},{"family":"Talwar","given":"Harshita"}],"issued":{"date-parts":[["2025",12,1]]}}}],"schema":"https://github.com/citation-style-language/schema/raw/master/csl-citation.json"} </w:instrText>
      </w:r>
      <w:r>
        <w:rPr>
          <w:rFonts w:asciiTheme="majorBidi" w:hAnsiTheme="majorBidi" w:cstheme="majorBidi"/>
        </w:rPr>
        <w:fldChar w:fldCharType="separate"/>
      </w:r>
      <w:r w:rsidRPr="00DF15A7">
        <w:rPr>
          <w:rFonts w:ascii="Times New Roman" w:hAnsi="Times New Roman" w:cs="Times New Roman"/>
        </w:rPr>
        <w:t>(Khemani et al., 2025)</w:t>
      </w:r>
      <w:r>
        <w:rPr>
          <w:rFonts w:asciiTheme="majorBidi" w:hAnsiTheme="majorBidi" w:cstheme="majorBidi"/>
        </w:rPr>
        <w:fldChar w:fldCharType="end"/>
      </w:r>
      <w:r w:rsidRPr="00DF15A7">
        <w:rPr>
          <w:rFonts w:asciiTheme="majorBidi" w:hAnsiTheme="majorBidi" w:cstheme="majorBidi"/>
        </w:rPr>
        <w:t xml:space="preserve">. As a result, performance gains may not translate into actionable decision support </w:t>
      </w:r>
      <w:r w:rsidR="00FC7DDE">
        <w:rPr>
          <w:rFonts w:asciiTheme="majorBidi" w:hAnsiTheme="majorBidi" w:cstheme="majorBidi"/>
        </w:rPr>
        <w:t xml:space="preserve">within hospital </w:t>
      </w:r>
      <w:r w:rsidR="00FC7DDE" w:rsidRPr="00FC7DDE">
        <w:rPr>
          <w:rFonts w:asciiTheme="majorBidi" w:hAnsiTheme="majorBidi" w:cstheme="majorBidi"/>
        </w:rPr>
        <w:t xml:space="preserve">settings. </w:t>
      </w:r>
      <w:r w:rsidR="004F4200" w:rsidRPr="00FC7DDE">
        <w:rPr>
          <w:rFonts w:asciiTheme="majorBidi" w:hAnsiTheme="majorBidi" w:cstheme="majorBidi"/>
        </w:rPr>
        <w:t xml:space="preserve">The </w:t>
      </w:r>
      <w:r w:rsidR="00FC7DDE" w:rsidRPr="00FC7DDE">
        <w:rPr>
          <w:rFonts w:asciiTheme="majorBidi" w:hAnsiTheme="majorBidi" w:cstheme="majorBidi"/>
        </w:rPr>
        <w:t>compromise</w:t>
      </w:r>
      <w:r w:rsidR="004F4200" w:rsidRPr="00FC7DDE">
        <w:rPr>
          <w:rFonts w:asciiTheme="majorBidi" w:hAnsiTheme="majorBidi" w:cstheme="majorBidi"/>
        </w:rPr>
        <w:t xml:space="preserve"> between predictive performance and explainability underscores the importance of systematically comparing interpretable baseline models with more complex classifiers rather than assuming that increased model complexity necessarily leads to clinical improvements </w:t>
      </w:r>
      <w:r w:rsidR="004F4200" w:rsidRPr="00FC7DDE">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{"citationID":"vshYvptM","properties":{"formattedCitation":"(Zhang et al., 2021)","plainCitation":"(Zhang et al., 2021)","noteIndex":0},"citationItems":[{"id":621,"uris":["http://zotero.org/users/13727123/items/VDKYDXFT"],"itemData":{"id":621,"type":"article-journal","abstract":"Adverse drug reactions (ADRs) are an important concern in the medication process and can pose a substantial economic burden for patients and hospitals. Because of the limitations of clinical trials, it is difficult to identify all possible ADRs of a drug before it is marketed. We developed a new model based on data mining technology to predict potential ADRs based on available drug data.","container-title":"BMC Medical Informatics and Decision Making","DOI":"10.1186/s12911-021-01402-3","ISSN":"1472-6947","issue":"1","journalAbbreviation":"BMC Med Inform Decis Mak","language":"en","page":"38","source":"Springer Link","title":"Prediction of adverse drug reactions based on knowledge graph embedding","volume":"21","author":[{"family":"Zhang","given":"Fei"},{"family":"Sun","given":"Bo"},{"family":"Diao","given":"Xiaolin"},{"family":"Zhao","given":"Wei"},{"family":"Shu","given":"Ting"}],"issued":{"date-parts":[["2021",2,4]]}}}],"schema":"https://github.com/citation-style-language/schema/raw/master/csl-citation.json"} </w:instrText>
      </w:r>
      <w:r w:rsidR="004F4200" w:rsidRPr="00FC7DDE">
        <w:rPr>
          <w:rFonts w:asciiTheme="majorBidi" w:hAnsiTheme="majorBidi" w:cstheme="majorBidi"/>
          <w:kern w:val="0"/>
          <w14:ligatures w14:val="none"/>
        </w:rPr>
        <w:fldChar w:fldCharType="separate"/>
      </w:r>
      <w:r w:rsidR="004F4200" w:rsidRPr="00FC7DDE">
        <w:rPr>
          <w:rFonts w:ascii="Times New Roman" w:hAnsi="Times New Roman" w:cs="Times New Roman"/>
          <w:kern w:val="0"/>
          <w14:ligatures w14:val="none"/>
        </w:rPr>
        <w:t>(Zhang et al., 2021)</w:t>
      </w:r>
      <w:r w:rsidR="004F4200" w:rsidRPr="00FC7DDE">
        <w:rPr>
          <w:rFonts w:asciiTheme="majorBidi" w:hAnsiTheme="majorBidi" w:cstheme="majorBidi"/>
          <w:kern w:val="0"/>
          <w14:ligatures w14:val="none"/>
        </w:rPr>
        <w:fldChar w:fldCharType="end"/>
      </w:r>
      <w:r w:rsidR="004F4200" w:rsidRPr="00FC7DDE">
        <w:rPr>
          <w:rFonts w:asciiTheme="majorBidi" w:hAnsiTheme="majorBidi" w:cstheme="majorBidi"/>
          <w:kern w:val="0"/>
          <w14:ligatures w14:val="none"/>
        </w:rPr>
        <w:t>.</w:t>
      </w:r>
    </w:p>
    <w:p w14:paraId="0670476B" w14:textId="2478479E" w:rsidR="006F7614" w:rsidRPr="00980F9C"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Clinical risk-score–based approaches offer an alternative perspective. Lima et al. (2020) developed a validated ADR risk prediction tool using demographic, clinical, and pharmacological variables from hospitalised patients. The </w:t>
      </w:r>
      <w:r w:rsidR="00846E30">
        <w:rPr>
          <w:rFonts w:asciiTheme="majorBidi" w:hAnsiTheme="majorBidi" w:cstheme="majorBidi"/>
          <w:kern w:val="0"/>
          <w14:ligatures w14:val="none"/>
        </w:rPr>
        <w:t>depth</w:t>
      </w:r>
      <w:r>
        <w:rPr>
          <w:rFonts w:asciiTheme="majorBidi" w:hAnsiTheme="majorBidi" w:cstheme="majorBidi"/>
          <w:kern w:val="0"/>
          <w14:ligatures w14:val="none"/>
        </w:rPr>
        <w:t xml:space="preserve"> of this approach lies in its transparency and </w:t>
      </w:r>
      <w:r w:rsidR="00846E30">
        <w:rPr>
          <w:rFonts w:asciiTheme="majorBidi" w:hAnsiTheme="majorBidi" w:cstheme="majorBidi"/>
          <w:kern w:val="0"/>
          <w14:ligatures w14:val="none"/>
        </w:rPr>
        <w:t>capability</w:t>
      </w:r>
      <w:r w:rsidR="00FC7DDE">
        <w:rPr>
          <w:rFonts w:asciiTheme="majorBidi" w:hAnsiTheme="majorBidi" w:cstheme="majorBidi"/>
          <w:kern w:val="0"/>
          <w14:ligatures w14:val="none"/>
        </w:rPr>
        <w:t xml:space="preserve"> to be interpreted clinically</w:t>
      </w:r>
      <w:r>
        <w:rPr>
          <w:rFonts w:asciiTheme="majorBidi" w:hAnsiTheme="majorBidi" w:cstheme="majorBidi"/>
          <w:kern w:val="0"/>
          <w14:ligatures w14:val="none"/>
        </w:rPr>
        <w:t>, which facilitate</w:t>
      </w:r>
      <w:r w:rsidR="00FC7DDE">
        <w:rPr>
          <w:rFonts w:asciiTheme="majorBidi" w:hAnsiTheme="majorBidi" w:cstheme="majorBidi"/>
          <w:kern w:val="0"/>
          <w14:ligatures w14:val="none"/>
        </w:rPr>
        <w:t>s</w:t>
      </w:r>
      <w:r>
        <w:rPr>
          <w:rFonts w:asciiTheme="majorBidi" w:hAnsiTheme="majorBidi" w:cstheme="majorBidi"/>
          <w:kern w:val="0"/>
          <w14:ligatures w14:val="none"/>
        </w:rPr>
        <w:t xml:space="preserve"> </w:t>
      </w:r>
      <w:r w:rsidR="00FC7DDE">
        <w:rPr>
          <w:rFonts w:asciiTheme="majorBidi" w:hAnsiTheme="majorBidi" w:cstheme="majorBidi"/>
          <w:kern w:val="0"/>
          <w14:ligatures w14:val="none"/>
        </w:rPr>
        <w:t xml:space="preserve">potential </w:t>
      </w:r>
      <w:r>
        <w:rPr>
          <w:rFonts w:asciiTheme="majorBidi" w:hAnsiTheme="majorBidi" w:cstheme="majorBidi"/>
          <w:kern w:val="0"/>
          <w14:ligatures w14:val="none"/>
        </w:rPr>
        <w:t xml:space="preserve">adoption in routine care. However, the scoring system relies on predefined linear relationships and fixed weights, </w:t>
      </w:r>
      <w:r w:rsidR="00FC7DDE">
        <w:rPr>
          <w:rFonts w:asciiTheme="majorBidi" w:hAnsiTheme="majorBidi" w:cstheme="majorBidi"/>
          <w:kern w:val="0"/>
          <w14:ligatures w14:val="none"/>
        </w:rPr>
        <w:t>which hinder</w:t>
      </w:r>
      <w:r>
        <w:rPr>
          <w:rFonts w:asciiTheme="majorBidi" w:hAnsiTheme="majorBidi" w:cstheme="majorBidi"/>
          <w:kern w:val="0"/>
          <w14:ligatures w14:val="none"/>
        </w:rPr>
        <w:t xml:space="preserve"> its ability to model</w:t>
      </w:r>
      <w:r w:rsidR="00FC7DDE">
        <w:rPr>
          <w:rFonts w:asciiTheme="majorBidi" w:hAnsiTheme="majorBidi" w:cstheme="majorBidi"/>
          <w:kern w:val="0"/>
          <w14:ligatures w14:val="none"/>
        </w:rPr>
        <w:t xml:space="preserve"> any</w:t>
      </w:r>
      <w:r>
        <w:rPr>
          <w:rFonts w:asciiTheme="majorBidi" w:hAnsiTheme="majorBidi" w:cstheme="majorBidi"/>
          <w:kern w:val="0"/>
          <w14:ligatures w14:val="none"/>
        </w:rPr>
        <w:t xml:space="preserve"> nonlinear interactions </w:t>
      </w:r>
      <w:r w:rsidR="00FC7DDE">
        <w:rPr>
          <w:rFonts w:asciiTheme="majorBidi" w:hAnsiTheme="majorBidi" w:cstheme="majorBidi"/>
          <w:kern w:val="0"/>
          <w14:ligatures w14:val="none"/>
        </w:rPr>
        <w:t xml:space="preserve">among </w:t>
      </w:r>
      <w:r>
        <w:rPr>
          <w:rFonts w:asciiTheme="majorBidi" w:hAnsiTheme="majorBidi" w:cstheme="majorBidi"/>
          <w:kern w:val="0"/>
          <w14:ligatures w14:val="none"/>
        </w:rPr>
        <w:t xml:space="preserve">predictors such as polypharmacy, comorbidity burden, and laboratory abnormalities. As patient complexity increases, among elderly and multimorbid populations, these </w:t>
      </w:r>
      <w:r w:rsidR="00FC7DDE">
        <w:rPr>
          <w:rFonts w:asciiTheme="majorBidi" w:hAnsiTheme="majorBidi" w:cstheme="majorBidi"/>
          <w:kern w:val="0"/>
          <w14:ligatures w14:val="none"/>
        </w:rPr>
        <w:t>restrictions</w:t>
      </w:r>
      <w:r>
        <w:rPr>
          <w:rFonts w:asciiTheme="majorBidi" w:hAnsiTheme="majorBidi" w:cstheme="majorBidi"/>
          <w:kern w:val="0"/>
          <w14:ligatures w14:val="none"/>
        </w:rPr>
        <w:t xml:space="preserve"> may reduce predictive accuracy and adaptability across different clinical contexts.</w:t>
      </w:r>
      <w:r>
        <w:rPr>
          <w:kern w:val="0"/>
          <w14:ligatures w14:val="none"/>
        </w:rPr>
        <w:t xml:space="preserve"> </w:t>
      </w:r>
      <w:r>
        <w:rPr>
          <w:rFonts w:asciiTheme="majorBidi" w:hAnsiTheme="majorBidi" w:cstheme="majorBidi"/>
          <w:kern w:val="0"/>
          <w14:ligatures w14:val="none"/>
        </w:rPr>
        <w:t xml:space="preserve">Comparative analyses </w:t>
      </w:r>
      <w:r>
        <w:rPr>
          <w:rFonts w:asciiTheme="majorBidi" w:hAnsiTheme="majorBidi" w:cstheme="majorBidi"/>
          <w:kern w:val="0"/>
          <w14:ligatures w14:val="none"/>
        </w:rPr>
        <w:lastRenderedPageBreak/>
        <w:t>suggest that while clinical risk scores offer transparency and ease of use, they are often outperformed by machine learning models in heterogeneous hospital populations</w:t>
      </w:r>
      <w:r w:rsidR="00FC7DDE">
        <w:rPr>
          <w:rFonts w:asciiTheme="majorBidi" w:hAnsiTheme="majorBidi" w:cstheme="majorBidi"/>
          <w:kern w:val="0"/>
          <w14:ligatures w14:val="none"/>
        </w:rPr>
        <w:t xml:space="preserve">. This </w:t>
      </w:r>
      <w:r>
        <w:rPr>
          <w:rFonts w:asciiTheme="majorBidi" w:hAnsiTheme="majorBidi" w:cstheme="majorBidi"/>
          <w:kern w:val="0"/>
          <w14:ligatures w14:val="none"/>
        </w:rPr>
        <w:t>highligh</w:t>
      </w:r>
      <w:r w:rsidR="00FC7DDE">
        <w:rPr>
          <w:rFonts w:asciiTheme="majorBidi" w:hAnsiTheme="majorBidi" w:cstheme="majorBidi"/>
          <w:kern w:val="0"/>
          <w14:ligatures w14:val="none"/>
        </w:rPr>
        <w:t>ts</w:t>
      </w:r>
      <w:r>
        <w:rPr>
          <w:rFonts w:asciiTheme="majorBidi" w:hAnsiTheme="majorBidi" w:cstheme="majorBidi"/>
          <w:kern w:val="0"/>
          <w14:ligatures w14:val="none"/>
        </w:rPr>
        <w:t xml:space="preserve"> a </w:t>
      </w:r>
      <w:r w:rsidR="00FC7DDE">
        <w:rPr>
          <w:rFonts w:asciiTheme="majorBidi" w:hAnsiTheme="majorBidi" w:cstheme="majorBidi"/>
          <w:kern w:val="0"/>
          <w14:ligatures w14:val="none"/>
        </w:rPr>
        <w:t>balance</w:t>
      </w:r>
      <w:r>
        <w:rPr>
          <w:rFonts w:asciiTheme="majorBidi" w:hAnsiTheme="majorBidi" w:cstheme="majorBidi"/>
          <w:kern w:val="0"/>
          <w14:ligatures w14:val="none"/>
        </w:rPr>
        <w:t xml:space="preserve"> between interpretability and adaptability rather than a simple superiority of one approach over another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{"citationID":"tSwyuvVo","properties":{"formattedCitation":"(Zhang et al., 2021)","plainCitation":"(Zhang et al., 2021)","noteIndex":0},"citationItems":[{"id":621,"uris":["http://zotero.org/users/13727123/items/VDKYDXFT"],"itemData":{"id":621,"type":"article-journal","abstract":"Adverse drug reactions (ADRs) are an important concern in the medication process and can pose a substantial economic burden for patients and hospitals. Because of the limitations of clinical trials, it is difficult to identify all possible ADRs of a drug before it is marketed. We developed a new model based on data mining technology to predict potential ADRs based on available drug data.","container-title":"BMC Medical Informatics and Decision Making","DOI":"10.1186/s12911-021-01402-3","ISSN":"1472-6947","issue":"1","journalAbbreviation":"BMC Med Inform Decis Mak","language":"en","page":"38","source":"Springer Link","title":"Prediction of adverse drug reactions based on knowledge graph embedding","volume":"21","author":[{"family":"Zhang","given":"Fei"},{"family":"Sun","given":"Bo"},{"family":"Diao","given":"Xiaolin"},{"family":"Zhao","given":"Wei"},{"family":"Shu","given":"Ting"}],"issued":{"date-parts":[["2021",2,4]]}}}],"schema":"https://github.com/citation-style-language/schema/raw/master/csl-citation.json"} </w:instrText>
      </w:r>
      <w:r>
        <w:rPr>
          <w:rFonts w:asciiTheme="majorBidi" w:hAnsiTheme="majorBidi" w:cstheme="majorBidi"/>
          <w:kern w:val="0"/>
          <w14:ligatures w14:val="none"/>
        </w:rPr>
        <w:fldChar w:fldCharType="separate"/>
      </w:r>
      <w:r>
        <w:rPr>
          <w:rFonts w:ascii="Times New Roman" w:hAnsi="Times New Roman" w:cs="Times New Roman"/>
          <w:kern w:val="0"/>
          <w14:ligatures w14:val="none"/>
        </w:rPr>
        <w:t>(Zhang et al., 2021)</w:t>
      </w:r>
      <w:r>
        <w:rPr>
          <w:rFonts w:asciiTheme="majorBidi" w:hAnsiTheme="majorBidi" w:cstheme="majorBidi"/>
          <w:kern w:val="0"/>
          <w14:ligatures w14:val="none"/>
        </w:rPr>
        <w:fldChar w:fldCharType="end"/>
      </w:r>
      <w:r>
        <w:rPr>
          <w:rFonts w:asciiTheme="majorBidi" w:hAnsiTheme="majorBidi" w:cstheme="majorBidi"/>
          <w:kern w:val="0"/>
          <w14:ligatures w14:val="none"/>
        </w:rPr>
        <w:t>.</w:t>
      </w:r>
    </w:p>
    <w:p w14:paraId="1C7086D3" w14:textId="00A5A9E0" w:rsidR="006F7614" w:rsidRDefault="006F7614" w:rsidP="006F7614">
      <w:pPr>
        <w:spacing w:line="360" w:lineRule="auto"/>
        <w:rPr>
          <w:rFonts w:asciiTheme="majorBidi" w:hAnsiTheme="majorBidi" w:cstheme="majorBidi"/>
        </w:rPr>
      </w:pPr>
      <w:r w:rsidRPr="00980F9C">
        <w:rPr>
          <w:rFonts w:asciiTheme="majorBidi" w:hAnsiTheme="majorBidi" w:cstheme="majorBidi"/>
        </w:rPr>
        <w:t xml:space="preserve">More recent research has increasingly focused on explainable artificial intelligence (XAI) to bridge the gap between predictive performance and </w:t>
      </w:r>
      <w:r w:rsidR="00FC7DDE">
        <w:rPr>
          <w:rFonts w:asciiTheme="majorBidi" w:hAnsiTheme="majorBidi" w:cstheme="majorBidi"/>
        </w:rPr>
        <w:t>use in clinical settings</w:t>
      </w:r>
      <w:r w:rsidRPr="00980F9C">
        <w:rPr>
          <w:rFonts w:asciiTheme="majorBidi" w:hAnsiTheme="majorBidi" w:cstheme="majorBidi"/>
        </w:rPr>
        <w:t xml:space="preserve">. Techniques such as SHapley Additive exPlanations (SHAP) and Local Interpretable Model-agnostic Explanations (LIME) have been proposed to </w:t>
      </w:r>
      <w:r w:rsidR="00FC7DDE">
        <w:rPr>
          <w:rFonts w:asciiTheme="majorBidi" w:hAnsiTheme="majorBidi" w:cstheme="majorBidi"/>
        </w:rPr>
        <w:t>elevate</w:t>
      </w:r>
      <w:r w:rsidRPr="00980F9C">
        <w:rPr>
          <w:rFonts w:asciiTheme="majorBidi" w:hAnsiTheme="majorBidi" w:cstheme="majorBidi"/>
        </w:rPr>
        <w:t xml:space="preserve"> transparency by quantifying feature contributions to individual predictions (Lundberg and Lee, 2017). Studies applying these methods </w:t>
      </w:r>
      <w:r>
        <w:rPr>
          <w:rFonts w:asciiTheme="majorBidi" w:hAnsiTheme="majorBidi" w:cstheme="majorBidi"/>
        </w:rPr>
        <w:t>to</w:t>
      </w:r>
      <w:r w:rsidRPr="00980F9C">
        <w:rPr>
          <w:rFonts w:asciiTheme="majorBidi" w:hAnsiTheme="majorBidi" w:cstheme="majorBidi"/>
        </w:rPr>
        <w:t xml:space="preserve"> ADR prediction have shown that explainability tools can identify clinically </w:t>
      </w:r>
      <w:r w:rsidR="00FC7DDE" w:rsidRPr="00980F9C">
        <w:rPr>
          <w:rFonts w:asciiTheme="majorBidi" w:hAnsiTheme="majorBidi" w:cstheme="majorBidi"/>
        </w:rPr>
        <w:t>acceptable</w:t>
      </w:r>
      <w:r w:rsidRPr="00980F9C">
        <w:rPr>
          <w:rFonts w:asciiTheme="majorBidi" w:hAnsiTheme="majorBidi" w:cstheme="majorBidi"/>
        </w:rPr>
        <w:t xml:space="preserve"> risk factors, such as medication burden </w:t>
      </w:r>
      <w:r w:rsidR="00FC7DDE">
        <w:rPr>
          <w:rFonts w:asciiTheme="majorBidi" w:hAnsiTheme="majorBidi" w:cstheme="majorBidi"/>
        </w:rPr>
        <w:t xml:space="preserve">or </w:t>
      </w:r>
      <w:r w:rsidRPr="00980F9C">
        <w:rPr>
          <w:rFonts w:asciiTheme="majorBidi" w:hAnsiTheme="majorBidi" w:cstheme="majorBidi"/>
        </w:rPr>
        <w:t xml:space="preserve">renal impairment, thereby increasing clinician trust. </w:t>
      </w:r>
    </w:p>
    <w:p w14:paraId="23F113E9" w14:textId="5CCBB633" w:rsidR="006F7614" w:rsidRDefault="006F7614" w:rsidP="006F7614">
      <w:pPr>
        <w:spacing w:line="360" w:lineRule="auto"/>
        <w:rPr>
          <w:rFonts w:asciiTheme="majorBidi" w:hAnsiTheme="majorBidi" w:cstheme="majorBidi"/>
        </w:rPr>
      </w:pPr>
      <w:r w:rsidRPr="00980F9C">
        <w:rPr>
          <w:rFonts w:asciiTheme="majorBidi" w:hAnsiTheme="majorBidi" w:cstheme="majorBidi"/>
        </w:rPr>
        <w:t xml:space="preserve">Nevertheless, many studies treat explainability as an add-on rather than integrating it systematically into model evaluation and interpretation. Furthermore, explanations derived from SHAP remain </w:t>
      </w:r>
      <w:r w:rsidR="00FC7DDE">
        <w:rPr>
          <w:rFonts w:asciiTheme="majorBidi" w:hAnsiTheme="majorBidi" w:cstheme="majorBidi"/>
        </w:rPr>
        <w:t xml:space="preserve">relevant </w:t>
      </w:r>
      <w:r w:rsidRPr="00980F9C">
        <w:rPr>
          <w:rFonts w:asciiTheme="majorBidi" w:hAnsiTheme="majorBidi" w:cstheme="majorBidi"/>
        </w:rPr>
        <w:t xml:space="preserve">and do not imply causality, a limitation that is sometimes </w:t>
      </w:r>
      <w:r w:rsidR="004F4200">
        <w:rPr>
          <w:rFonts w:asciiTheme="majorBidi" w:hAnsiTheme="majorBidi" w:cstheme="majorBidi"/>
        </w:rPr>
        <w:t>undermined</w:t>
      </w:r>
      <w:r w:rsidRPr="00980F9C">
        <w:rPr>
          <w:rFonts w:asciiTheme="majorBidi" w:hAnsiTheme="majorBidi" w:cstheme="majorBidi"/>
        </w:rPr>
        <w:t xml:space="preserve"> in the literature.</w:t>
      </w:r>
      <w:r>
        <w:rPr>
          <w:rFonts w:asciiTheme="majorBidi" w:hAnsiTheme="majorBidi" w:cstheme="majorBidi"/>
        </w:rPr>
        <w:t xml:space="preserve"> </w:t>
      </w:r>
      <w:r w:rsidRPr="0036141C">
        <w:rPr>
          <w:rFonts w:asciiTheme="majorBidi" w:hAnsiTheme="majorBidi" w:cstheme="majorBidi"/>
        </w:rPr>
        <w:t xml:space="preserve">Recent work in explainable pharmacovigilance further cautions that feature attribution methods may vary substantially across models and datasets, </w:t>
      </w:r>
      <w:r w:rsidR="00FC7DDE" w:rsidRPr="0036141C">
        <w:rPr>
          <w:rFonts w:asciiTheme="majorBidi" w:hAnsiTheme="majorBidi" w:cstheme="majorBidi"/>
        </w:rPr>
        <w:t>emphasising</w:t>
      </w:r>
      <w:r w:rsidRPr="0036141C">
        <w:rPr>
          <w:rFonts w:asciiTheme="majorBidi" w:hAnsiTheme="majorBidi" w:cstheme="majorBidi"/>
        </w:rPr>
        <w:t xml:space="preserve"> the importance of using explainability not as a post-hoc visual aid, but as an integral component of model evaluation and clinical reasoning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{"citationID":"op2Pp9H3","properties":{"formattedCitation":"(Ward et al., 2021)","plainCitation":"(Ward et al., 2021)","noteIndex":0},"citationItems":[{"id":623,"uris":["http://zotero.org/users/13727123/items/6PANQZKY"],"itemData":{"id":623,"type":"article-journal","abstract":"Background and Objective. Explainable Artificial Intelligence (XAI) has been identified as a viable method for determining the importance of features when making predictions using Machine Learning (ML) models. In this study, we created models that take an individual’s health information (e.g. their drug history and comorbidities) as inputs, and predict the probability that the individual will have an Acute Coronary Syndrome (ACS) adverse outcome. Methods. Using XAI, we quantified the contribution that specific drugs had on these ACS predictions, thus creating an XAI-based technique for pharmacovigilance monitoring, using ACS as an example of the adverse outcome to detect. Individuals aged over 65 who were supplied Musculo-skeletal system (anatomical therapeutic chemical (ATC) class M) or Cardiovascular system (ATC class C) drugs between 1993 and 2009 were identified, and their drug histories, comorbidities, and other key features were extracted from linked Western Australian datasets. Multiple ML models were trained to predict if these individuals would have an ACS related adverse outcome (i.e., death or hospitalisation with a discharge diagnosis of ACS), and a variety of ML and XAI techniques were used to calculate which features — specifically which drugs — led to these predictions. Results. The drug dispensing features for rofecoxib and celecoxib were found to have a greater than zero contribution to ACS related adverse outcome predictions (on average), and it was found that ACS related adverse outcomes can be predicted with 72% accuracy. Furthermore, the XAI libraries LIME and SHAP were found to successfully identify both important and unimportant features, with SHAP slightly outperforming LIME. Conclusions. ML models trained on linked administrative health datasets in tandem with XAI algorithms can successfully quantify feature importance, and with further development, could potentially be used as pharmacovigilance monitoring techniques.","container-title":"Computer Methods and Programs in Biomedicine","DOI":"10.1016/j.cmpb.2021.106415","ISSN":"0169-2607","journalAbbreviation":"Computer Methods and Programs in Biomedicine","page":"106415","source":"ScienceDirect","title":"Explainable artificial intelligence for pharmacovigilance: What features are important when predicting adverse outcomes?","title-short":"Explainable artificial intelligence for pharmacovigilance","volume":"212","author":[{"family":"Ward","given":"Isaac Ronald"},{"family":"Wang","given":"Ling"},{"family":"Lu","given":"Juan"},{"family":"Bennamoun","given":"Mohammed"},{"family":"Dwivedi","given":"Girish"},{"family":"Sanfilippo","given":"Frank M"}],"issued":{"date-parts":[["2021",11,1]]}}}],"schema":"https://github.com/citation-style-language/schema/raw/master/csl-citation.json"} </w:instrText>
      </w:r>
      <w:r>
        <w:rPr>
          <w:rFonts w:asciiTheme="majorBidi" w:hAnsiTheme="majorBidi" w:cstheme="majorBidi"/>
        </w:rPr>
        <w:fldChar w:fldCharType="separate"/>
      </w:r>
      <w:r w:rsidRPr="00AA6C7F">
        <w:rPr>
          <w:rFonts w:ascii="Times New Roman" w:hAnsi="Times New Roman" w:cs="Times New Roman"/>
        </w:rPr>
        <w:t>(Ward et al., 2021)</w:t>
      </w:r>
      <w:r>
        <w:rPr>
          <w:rFonts w:asciiTheme="majorBidi" w:hAnsiTheme="majorBidi" w:cstheme="majorBidi"/>
        </w:rPr>
        <w:fldChar w:fldCharType="end"/>
      </w:r>
      <w:r>
        <w:rPr>
          <w:rFonts w:asciiTheme="majorBidi" w:hAnsiTheme="majorBidi" w:cstheme="majorBidi"/>
        </w:rPr>
        <w:t>.</w:t>
      </w:r>
      <w:r w:rsidR="004F4200">
        <w:rPr>
          <w:rFonts w:asciiTheme="majorBidi" w:hAnsiTheme="majorBidi" w:cstheme="majorBidi"/>
        </w:rPr>
        <w:t xml:space="preserve"> This perspective motivated the use of SHAP-based analysis alongside performance benchmarking </w:t>
      </w:r>
      <w:r w:rsidR="00FC7DDE">
        <w:rPr>
          <w:rFonts w:asciiTheme="majorBidi" w:hAnsiTheme="majorBidi" w:cstheme="majorBidi"/>
        </w:rPr>
        <w:t xml:space="preserve">seen in the study by </w:t>
      </w:r>
      <w:r w:rsidR="004F4200" w:rsidRPr="00980F9C">
        <w:rPr>
          <w:rFonts w:asciiTheme="majorBidi" w:hAnsiTheme="majorBidi" w:cstheme="majorBidi"/>
        </w:rPr>
        <w:t>Lundberg and Lee, 2017</w:t>
      </w:r>
      <w:r w:rsidR="004F4200">
        <w:rPr>
          <w:rFonts w:asciiTheme="majorBidi" w:hAnsiTheme="majorBidi" w:cstheme="majorBidi"/>
        </w:rPr>
        <w:t xml:space="preserve">. </w:t>
      </w:r>
    </w:p>
    <w:p w14:paraId="7295A184" w14:textId="7A3E1D28" w:rsidR="006F7614" w:rsidRPr="00980F9C" w:rsidRDefault="006F7614" w:rsidP="006F7614">
      <w:pPr>
        <w:spacing w:line="360" w:lineRule="auto"/>
        <w:rPr>
          <w:rFonts w:asciiTheme="majorBidi" w:hAnsiTheme="majorBidi" w:cstheme="majorBidi"/>
        </w:rPr>
      </w:pPr>
      <w:r w:rsidRPr="00980F9C">
        <w:rPr>
          <w:rFonts w:asciiTheme="majorBidi" w:hAnsiTheme="majorBidi" w:cstheme="majorBidi"/>
        </w:rPr>
        <w:t xml:space="preserve">Despite </w:t>
      </w:r>
      <w:r w:rsidR="00FC7DDE">
        <w:rPr>
          <w:rFonts w:asciiTheme="majorBidi" w:hAnsiTheme="majorBidi" w:cstheme="majorBidi"/>
        </w:rPr>
        <w:t xml:space="preserve">the </w:t>
      </w:r>
      <w:r w:rsidRPr="00980F9C">
        <w:rPr>
          <w:rFonts w:asciiTheme="majorBidi" w:hAnsiTheme="majorBidi" w:cstheme="majorBidi"/>
        </w:rPr>
        <w:t xml:space="preserve">growing interest in ML-based ADR prediction, several gaps remain. First, many studies rely on single performance metrics, such as accuracy or ROC–AUC, without aligning evaluation strategies with clinical priorities. In pharmacovigilance, missing an ADR can have more severe consequences than generating false alerts, suggesting that </w:t>
      </w:r>
      <w:r w:rsidR="009F07F9">
        <w:rPr>
          <w:rFonts w:asciiTheme="majorBidi" w:hAnsiTheme="majorBidi" w:cstheme="majorBidi"/>
        </w:rPr>
        <w:t xml:space="preserve">we should prioritise </w:t>
      </w:r>
      <w:r w:rsidRPr="00980F9C">
        <w:rPr>
          <w:rFonts w:asciiTheme="majorBidi" w:hAnsiTheme="majorBidi" w:cstheme="majorBidi"/>
        </w:rPr>
        <w:t>recall and sensitivit</w:t>
      </w:r>
      <w:r w:rsidR="009F07F9">
        <w:rPr>
          <w:rFonts w:asciiTheme="majorBidi" w:hAnsiTheme="majorBidi" w:cstheme="majorBidi"/>
        </w:rPr>
        <w:t>y</w:t>
      </w:r>
      <w:r w:rsidRPr="00980F9C">
        <w:rPr>
          <w:rFonts w:asciiTheme="majorBidi" w:hAnsiTheme="majorBidi" w:cstheme="majorBidi"/>
        </w:rPr>
        <w:t>. Second</w:t>
      </w:r>
      <w:r w:rsidR="009F07F9">
        <w:rPr>
          <w:rFonts w:asciiTheme="majorBidi" w:hAnsiTheme="majorBidi" w:cstheme="majorBidi"/>
        </w:rPr>
        <w:t>ly</w:t>
      </w:r>
      <w:r w:rsidRPr="00980F9C">
        <w:rPr>
          <w:rFonts w:asciiTheme="majorBidi" w:hAnsiTheme="majorBidi" w:cstheme="majorBidi"/>
        </w:rPr>
        <w:t xml:space="preserve">, comparisons between interpretable baseline models and more complex classifiers are often limited, making it difficult to assess whether performance gains </w:t>
      </w:r>
      <w:r w:rsidR="009F07F9">
        <w:rPr>
          <w:rFonts w:asciiTheme="majorBidi" w:hAnsiTheme="majorBidi" w:cstheme="majorBidi"/>
        </w:rPr>
        <w:t xml:space="preserve">can </w:t>
      </w:r>
      <w:r w:rsidRPr="00980F9C">
        <w:rPr>
          <w:rFonts w:asciiTheme="majorBidi" w:hAnsiTheme="majorBidi" w:cstheme="majorBidi"/>
        </w:rPr>
        <w:t>justify</w:t>
      </w:r>
      <w:r w:rsidR="009F07F9">
        <w:rPr>
          <w:rFonts w:asciiTheme="majorBidi" w:hAnsiTheme="majorBidi" w:cstheme="majorBidi"/>
        </w:rPr>
        <w:t xml:space="preserve"> the</w:t>
      </w:r>
      <w:r w:rsidRPr="00980F9C">
        <w:rPr>
          <w:rFonts w:asciiTheme="majorBidi" w:hAnsiTheme="majorBidi" w:cstheme="majorBidi"/>
        </w:rPr>
        <w:t xml:space="preserve"> reduced transparency. Third, reproducibility remains a concern, as methodological details such as preprocessing steps, handling of missing data, and class imbalance strategies are inconsistently reported.</w:t>
      </w:r>
      <w:r>
        <w:rPr>
          <w:rFonts w:asciiTheme="majorBidi" w:hAnsiTheme="majorBidi" w:cstheme="majorBidi"/>
        </w:rPr>
        <w:t xml:space="preserve"> </w:t>
      </w:r>
      <w:r w:rsidRPr="00AA6C7F">
        <w:rPr>
          <w:rFonts w:asciiTheme="majorBidi" w:hAnsiTheme="majorBidi" w:cstheme="majorBidi"/>
        </w:rPr>
        <w:t xml:space="preserve">In addition, few studies </w:t>
      </w:r>
      <w:r w:rsidR="009F07F9">
        <w:rPr>
          <w:rFonts w:asciiTheme="majorBidi" w:hAnsiTheme="majorBidi" w:cstheme="majorBidi"/>
        </w:rPr>
        <w:t>clearly</w:t>
      </w:r>
      <w:r w:rsidRPr="00AA6C7F">
        <w:rPr>
          <w:rFonts w:asciiTheme="majorBidi" w:hAnsiTheme="majorBidi" w:cstheme="majorBidi"/>
        </w:rPr>
        <w:t xml:space="preserve"> benchmark interpretable linear models against margin-based or nonlinear classifiers using the same dataset and evaluation framework, </w:t>
      </w:r>
      <w:r w:rsidR="009F07F9">
        <w:rPr>
          <w:rFonts w:asciiTheme="majorBidi" w:hAnsiTheme="majorBidi" w:cstheme="majorBidi"/>
        </w:rPr>
        <w:t xml:space="preserve">which </w:t>
      </w:r>
      <w:r w:rsidRPr="00AA6C7F">
        <w:rPr>
          <w:rFonts w:asciiTheme="majorBidi" w:hAnsiTheme="majorBidi" w:cstheme="majorBidi"/>
        </w:rPr>
        <w:t>limi</w:t>
      </w:r>
      <w:r w:rsidR="009F07F9">
        <w:rPr>
          <w:rFonts w:asciiTheme="majorBidi" w:hAnsiTheme="majorBidi" w:cstheme="majorBidi"/>
        </w:rPr>
        <w:t>ts</w:t>
      </w:r>
      <w:r w:rsidRPr="00AA6C7F">
        <w:rPr>
          <w:rFonts w:asciiTheme="majorBidi" w:hAnsiTheme="majorBidi" w:cstheme="majorBidi"/>
        </w:rPr>
        <w:t xml:space="preserve"> insight into whether increased model complexity offers clinically meaningful benefits over simpler, more transparent approaches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{"citationID":"aGcB2RmD","properties":{"formattedCitation":"(Dsouza et al., 2025b)","plainCitation":"(Dsouza et al., 2025b)","dontUpdate":true,"noteIndex":0},"citationItems":[{"id":"EtHRhwhX/rGnmjUgu","uris":["http://zotero.org/users/13727123/items/47VK4SGM"],"itemData":{"id":562,"type":"article-journal","abstract":"Introduction\nAdverse drug reactions (ADRs) significantly impact healthcare systems, leading to increased hospitalization rates and costs. With the growing adoption of artificial intelligence (AI) in healthcare, machine learning (ML) models offer promising solutions for ADR prediction. However, comprehensive evaluations of these models remain limited.\nMethods\nThis systematic review synthesized findings from 13 studies that utilized various ML algorithms (regression-based, flexible, and ensemble models) to predict ADRs using data such as patient demographics, laboratory values, and comorbidities. Meta-analysis was conducted to assess the pooled sensitivity and specificity of the models, and a co-authorship and keyword analysis was performed to examine collaborative networks within the field.\nResults\nThe included studies primarily focused on model development (77 %), with only 23 % incorporating external validation, raising concerns about generalizability across clinical contexts. Meta-analysis showed pooled sensitivity and specificity of 78.1 % and 70.6 % for development-only studies, while studies with external validation achieved higher sensitivity (81.5 %) and specificity (79.5 %). Co-authorship analysis identified 67 contributors across eight collaboration clusters, indicating a specialized but emerging research field.\nDiscussion\nThe findings highlight the need for multifactorial models that integrate diverse predictors to improve the performance and reliability of ML-based ADR prediction. Addressing these limitations through rigorous model development and validation processes could enhance the clinical applicability of AI-driven pharmacovigilance, ultimately advancing patient safety and healthcare outcomes.","container-title":"Research in Social and Administrative Pharmacy","DOI":"10.1016/j.sapharm.2025.02.008","ISSN":"1551-7411","issue":"6","journalAbbreviation":"Research in Social and Administrative Pharmacy","page":"453-462","source":"ScienceDirect","title":"Artificial intelligence (AI) in pharmacovigilance: A systematic review on predicting adverse drug reactions (ADR) in hospitalized patients","title-short":"Artificial intelligence (AI) in pharmacovigilance","volume":"21","author":[{"family":"Dsouza","given":"Viola Savy"},{"family":"Leyens","given":"Lada"},{"family":"Kurian","given":"Jestina Rachel"},{"family":"Brand","given":"Angela"},{"family":"Brand","given":"Helmut"}],"issued":{"date-parts":[["2025",6,1]]}}}],"schema":"https://github.com/citation-style-language/schema/raw/master/csl-citation.json"} </w:instrText>
      </w:r>
      <w:r>
        <w:rPr>
          <w:rFonts w:asciiTheme="majorBidi" w:hAnsiTheme="majorBidi" w:cstheme="majorBidi"/>
        </w:rPr>
        <w:fldChar w:fldCharType="separate"/>
      </w:r>
      <w:r w:rsidRPr="00AA6C7F">
        <w:rPr>
          <w:rFonts w:ascii="Times New Roman" w:hAnsi="Times New Roman" w:cs="Times New Roman"/>
        </w:rPr>
        <w:t>(Dsouza et al., 2025)</w:t>
      </w:r>
      <w:r>
        <w:rPr>
          <w:rFonts w:asciiTheme="majorBidi" w:hAnsiTheme="majorBidi" w:cstheme="majorBidi"/>
        </w:rPr>
        <w:fldChar w:fldCharType="end"/>
      </w:r>
      <w:r>
        <w:rPr>
          <w:rFonts w:asciiTheme="majorBidi" w:hAnsiTheme="majorBidi" w:cstheme="majorBidi"/>
        </w:rPr>
        <w:t>.</w:t>
      </w:r>
    </w:p>
    <w:p w14:paraId="716236EB" w14:textId="3D63C94D" w:rsidR="006F7614"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In summary, the existing literature shows that machine learning can enhance ADR prediction but also highlights persistent challenges with interpretability, </w:t>
      </w:r>
      <w:r w:rsidR="009F07F9">
        <w:rPr>
          <w:rFonts w:asciiTheme="majorBidi" w:hAnsiTheme="majorBidi" w:cstheme="majorBidi"/>
          <w:kern w:val="0"/>
          <w14:ligatures w14:val="none"/>
        </w:rPr>
        <w:t xml:space="preserve">reproducibility, and </w:t>
      </w:r>
      <w:r>
        <w:rPr>
          <w:rFonts w:asciiTheme="majorBidi" w:hAnsiTheme="majorBidi" w:cstheme="majorBidi"/>
          <w:kern w:val="0"/>
          <w14:ligatures w14:val="none"/>
        </w:rPr>
        <w:t xml:space="preserve">clinical relevance. There is a </w:t>
      </w:r>
      <w:r>
        <w:rPr>
          <w:rFonts w:asciiTheme="majorBidi" w:hAnsiTheme="majorBidi" w:cstheme="majorBidi"/>
          <w:kern w:val="0"/>
          <w14:ligatures w14:val="none"/>
        </w:rPr>
        <w:lastRenderedPageBreak/>
        <w:t xml:space="preserve">clear need for studies that systematically compare interpretable and margin-based ML models using structured hospital data, use </w:t>
      </w:r>
      <w:r w:rsidR="009F07F9">
        <w:rPr>
          <w:rFonts w:asciiTheme="majorBidi" w:hAnsiTheme="majorBidi" w:cstheme="majorBidi"/>
          <w:kern w:val="0"/>
          <w14:ligatures w14:val="none"/>
        </w:rPr>
        <w:t xml:space="preserve">of </w:t>
      </w:r>
      <w:r>
        <w:rPr>
          <w:rFonts w:asciiTheme="majorBidi" w:hAnsiTheme="majorBidi" w:cstheme="majorBidi"/>
          <w:kern w:val="0"/>
          <w14:ligatures w14:val="none"/>
        </w:rPr>
        <w:t xml:space="preserve">evaluation metrics </w:t>
      </w:r>
      <w:r w:rsidR="009F07F9">
        <w:rPr>
          <w:rFonts w:asciiTheme="majorBidi" w:hAnsiTheme="majorBidi" w:cstheme="majorBidi"/>
          <w:kern w:val="0"/>
          <w14:ligatures w14:val="none"/>
        </w:rPr>
        <w:t>that align</w:t>
      </w:r>
      <w:r>
        <w:rPr>
          <w:rFonts w:asciiTheme="majorBidi" w:hAnsiTheme="majorBidi" w:cstheme="majorBidi"/>
          <w:kern w:val="0"/>
          <w14:ligatures w14:val="none"/>
        </w:rPr>
        <w:t xml:space="preserve"> with patient safety, and integrate explainability techniques to contextualise predictions within established pharmacological knowledge. Addressing these challenges requires not only improved predictive performance but also transparent model behaviour, reproducible workflows, and evaluation strategies </w:t>
      </w:r>
      <w:r w:rsidR="009F07F9">
        <w:rPr>
          <w:rFonts w:asciiTheme="majorBidi" w:hAnsiTheme="majorBidi" w:cstheme="majorBidi"/>
          <w:kern w:val="0"/>
          <w14:ligatures w14:val="none"/>
        </w:rPr>
        <w:t>that</w:t>
      </w:r>
      <w:r>
        <w:rPr>
          <w:rFonts w:asciiTheme="majorBidi" w:hAnsiTheme="majorBidi" w:cstheme="majorBidi"/>
          <w:kern w:val="0"/>
          <w14:ligatures w14:val="none"/>
        </w:rPr>
        <w:t xml:space="preserve"> </w:t>
      </w:r>
      <w:r w:rsidR="009F07F9">
        <w:rPr>
          <w:rFonts w:asciiTheme="majorBidi" w:hAnsiTheme="majorBidi" w:cstheme="majorBidi"/>
          <w:kern w:val="0"/>
          <w14:ligatures w14:val="none"/>
        </w:rPr>
        <w:t>account for</w:t>
      </w:r>
      <w:r>
        <w:rPr>
          <w:rFonts w:asciiTheme="majorBidi" w:hAnsiTheme="majorBidi" w:cstheme="majorBidi"/>
          <w:kern w:val="0"/>
          <w14:ligatures w14:val="none"/>
        </w:rPr>
        <w:t xml:space="preserve"> the asymmetric risks inherent in medication safety.</w:t>
      </w:r>
    </w:p>
    <w:p w14:paraId="2EBD989E" w14:textId="779A02BD" w:rsidR="006F7614" w:rsidRDefault="006F7614" w:rsidP="006F7614">
      <w:pPr>
        <w:spacing w:line="360" w:lineRule="auto"/>
        <w:rPr>
          <w:rFonts w:asciiTheme="majorBidi" w:hAnsiTheme="majorBidi" w:cstheme="majorBidi"/>
        </w:rPr>
      </w:pPr>
      <w:r w:rsidRPr="00980F9C">
        <w:rPr>
          <w:rFonts w:asciiTheme="majorBidi" w:hAnsiTheme="majorBidi" w:cstheme="majorBidi"/>
        </w:rPr>
        <w:t xml:space="preserve">This study addresses these gaps by benchmarking Logistic Regression and Support Vector Classification models on real-world </w:t>
      </w:r>
      <w:r w:rsidR="009F07F9">
        <w:rPr>
          <w:rFonts w:asciiTheme="majorBidi" w:hAnsiTheme="majorBidi" w:cstheme="majorBidi"/>
        </w:rPr>
        <w:t>in</w:t>
      </w:r>
      <w:r w:rsidRPr="00980F9C">
        <w:rPr>
          <w:rFonts w:asciiTheme="majorBidi" w:hAnsiTheme="majorBidi" w:cstheme="majorBidi"/>
        </w:rPr>
        <w:t>patient data, prioritising clinically meaningful evaluation metrics, and applying SHAP-based interpretation to support transparent and trustworthy ADR risk prediction.</w:t>
      </w:r>
      <w:bookmarkEnd w:id="1"/>
    </w:p>
    <w:p w14:paraId="3A94BE57" w14:textId="77777777" w:rsidR="006F7614" w:rsidRPr="001A256F" w:rsidRDefault="006F7614" w:rsidP="006F7614">
      <w:pPr>
        <w:pStyle w:val="ListParagraph"/>
        <w:numPr>
          <w:ilvl w:val="1"/>
          <w:numId w:val="4"/>
        </w:numPr>
        <w:spacing w:line="360" w:lineRule="auto"/>
        <w:rPr>
          <w:rFonts w:asciiTheme="majorBidi" w:hAnsiTheme="majorBidi" w:cstheme="majorBidi"/>
          <w:u w:val="single"/>
        </w:rPr>
      </w:pPr>
      <w:r w:rsidRPr="001A256F">
        <w:rPr>
          <w:rFonts w:asciiTheme="majorBidi" w:hAnsiTheme="majorBidi" w:cstheme="majorBidi"/>
          <w:u w:val="single"/>
        </w:rPr>
        <w:t>Aims and Objectives</w:t>
      </w:r>
    </w:p>
    <w:p w14:paraId="7756DA61" w14:textId="7FC61997" w:rsidR="006F7614" w:rsidRDefault="006F7614"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 xml:space="preserve">The primary aim of this study is to determine whether machine learning models can accurately predict the risk of adverse drug reactions (ADRs) in hospitalised patients using routinely collected demographic, clinical, laboratory, and pharmacological data. </w:t>
      </w:r>
      <w:r w:rsidR="009F07F9">
        <w:rPr>
          <w:rFonts w:asciiTheme="majorBidi" w:hAnsiTheme="majorBidi" w:cstheme="majorBidi"/>
          <w:kern w:val="0"/>
          <w14:ligatures w14:val="none"/>
        </w:rPr>
        <w:t>To achieve this, the objectives addressed in this study are as follows:</w:t>
      </w:r>
    </w:p>
    <w:p w14:paraId="5A04C614" w14:textId="26E6CFFE" w:rsidR="006F7614" w:rsidRPr="00BC3F64" w:rsidRDefault="009F07F9" w:rsidP="006F7614">
      <w:pPr>
        <w:pStyle w:val="ListParagraph"/>
        <w:numPr>
          <w:ilvl w:val="0"/>
          <w:numId w:val="6"/>
        </w:numPr>
        <w:spacing w:line="360" w:lineRule="auto"/>
        <w:rPr>
          <w:rFonts w:asciiTheme="majorBidi" w:hAnsiTheme="majorBidi" w:cstheme="majorBidi"/>
          <w:kern w:val="0"/>
          <w14:ligatures w14:val="none"/>
        </w:rPr>
      </w:pPr>
      <w:r>
        <w:rPr>
          <w:rFonts w:asciiTheme="majorBidi" w:hAnsiTheme="majorBidi" w:cstheme="majorBidi"/>
          <w:kern w:val="0"/>
          <w14:ligatures w14:val="none"/>
        </w:rPr>
        <w:t>To p</w:t>
      </w:r>
      <w:r w:rsidR="006F7614" w:rsidRPr="00BC3F64">
        <w:rPr>
          <w:rFonts w:asciiTheme="majorBidi" w:hAnsiTheme="majorBidi" w:cstheme="majorBidi"/>
          <w:kern w:val="0"/>
          <w14:ligatures w14:val="none"/>
        </w:rPr>
        <w:t>reprocess and curate structured hospital datasets to ensure analytical robustness and clinical relevance.</w:t>
      </w:r>
    </w:p>
    <w:p w14:paraId="042FDD70" w14:textId="72957286" w:rsidR="006F7614" w:rsidRPr="00BC3F64" w:rsidRDefault="006F7614" w:rsidP="006F7614">
      <w:pPr>
        <w:pStyle w:val="ListParagraph"/>
        <w:numPr>
          <w:ilvl w:val="0"/>
          <w:numId w:val="6"/>
        </w:numPr>
        <w:spacing w:line="360" w:lineRule="auto"/>
        <w:rPr>
          <w:rFonts w:asciiTheme="majorBidi" w:hAnsiTheme="majorBidi" w:cstheme="majorBidi"/>
          <w:kern w:val="0"/>
          <w14:ligatures w14:val="none"/>
        </w:rPr>
      </w:pPr>
      <w:r>
        <w:rPr>
          <w:rFonts w:asciiTheme="majorBidi" w:hAnsiTheme="majorBidi" w:cstheme="majorBidi"/>
          <w:kern w:val="0"/>
          <w14:ligatures w14:val="none"/>
        </w:rPr>
        <w:t>Develop and benchmark i</w:t>
      </w:r>
      <w:r w:rsidRPr="00BC3F64">
        <w:rPr>
          <w:rFonts w:asciiTheme="majorBidi" w:hAnsiTheme="majorBidi" w:cstheme="majorBidi"/>
          <w:kern w:val="0"/>
          <w14:ligatures w14:val="none"/>
        </w:rPr>
        <w:t xml:space="preserve">nterpretable machine learning models, specifically Logistic Regression and Support Vector Machines, to assess </w:t>
      </w:r>
      <w:r w:rsidR="009F07F9">
        <w:rPr>
          <w:rFonts w:asciiTheme="majorBidi" w:hAnsiTheme="majorBidi" w:cstheme="majorBidi"/>
          <w:kern w:val="0"/>
          <w14:ligatures w14:val="none"/>
        </w:rPr>
        <w:t>if they are suitable</w:t>
      </w:r>
      <w:r w:rsidRPr="00BC3F64">
        <w:rPr>
          <w:rFonts w:asciiTheme="majorBidi" w:hAnsiTheme="majorBidi" w:cstheme="majorBidi"/>
          <w:kern w:val="0"/>
          <w14:ligatures w14:val="none"/>
        </w:rPr>
        <w:t xml:space="preserve"> for ADR risk prediction. </w:t>
      </w:r>
    </w:p>
    <w:p w14:paraId="3B4EC1F1" w14:textId="14344003" w:rsidR="006F7614" w:rsidRPr="00BC3F64" w:rsidRDefault="009F07F9" w:rsidP="006F7614">
      <w:pPr>
        <w:pStyle w:val="ListParagraph"/>
        <w:numPr>
          <w:ilvl w:val="0"/>
          <w:numId w:val="6"/>
        </w:numPr>
        <w:spacing w:line="360" w:lineRule="auto"/>
        <w:rPr>
          <w:rFonts w:asciiTheme="majorBidi" w:hAnsiTheme="majorBidi" w:cstheme="majorBidi"/>
          <w:kern w:val="0"/>
          <w14:ligatures w14:val="none"/>
        </w:rPr>
      </w:pPr>
      <w:r>
        <w:rPr>
          <w:rFonts w:asciiTheme="majorBidi" w:hAnsiTheme="majorBidi" w:cstheme="majorBidi"/>
          <w:kern w:val="0"/>
          <w14:ligatures w14:val="none"/>
        </w:rPr>
        <w:t>To e</w:t>
      </w:r>
      <w:r w:rsidR="006F7614" w:rsidRPr="00BC3F64">
        <w:rPr>
          <w:rFonts w:asciiTheme="majorBidi" w:hAnsiTheme="majorBidi" w:cstheme="majorBidi"/>
          <w:kern w:val="0"/>
          <w14:ligatures w14:val="none"/>
        </w:rPr>
        <w:t>valuate model performance using standard classification metrics, including accuracy, precision, recall, F1-score, and the area under the receiver operating characteristic curve (ROC-AUC)</w:t>
      </w:r>
      <w:r>
        <w:rPr>
          <w:rFonts w:asciiTheme="majorBidi" w:hAnsiTheme="majorBidi" w:cstheme="majorBidi"/>
          <w:kern w:val="0"/>
          <w14:ligatures w14:val="none"/>
        </w:rPr>
        <w:t xml:space="preserve">. This is done with </w:t>
      </w:r>
      <w:r w:rsidR="006F7614" w:rsidRPr="00BC3F64">
        <w:rPr>
          <w:rFonts w:asciiTheme="majorBidi" w:hAnsiTheme="majorBidi" w:cstheme="majorBidi"/>
          <w:kern w:val="0"/>
          <w14:ligatures w14:val="none"/>
        </w:rPr>
        <w:t xml:space="preserve">particular attention to clinically meaningful trade-offs between sensitivity and specificity. </w:t>
      </w:r>
    </w:p>
    <w:p w14:paraId="5773137D" w14:textId="118DA721" w:rsidR="006F7614" w:rsidRPr="00BC3F64" w:rsidRDefault="009F07F9" w:rsidP="006F7614">
      <w:pPr>
        <w:pStyle w:val="ListParagraph"/>
        <w:numPr>
          <w:ilvl w:val="0"/>
          <w:numId w:val="6"/>
        </w:numPr>
        <w:spacing w:line="360" w:lineRule="auto"/>
        <w:rPr>
          <w:rFonts w:asciiTheme="majorBidi" w:hAnsiTheme="majorBidi" w:cstheme="majorBidi"/>
          <w:kern w:val="0"/>
          <w14:ligatures w14:val="none"/>
        </w:rPr>
      </w:pPr>
      <w:r>
        <w:rPr>
          <w:rFonts w:asciiTheme="majorBidi" w:hAnsiTheme="majorBidi" w:cstheme="majorBidi"/>
          <w:kern w:val="0"/>
          <w14:ligatures w14:val="none"/>
        </w:rPr>
        <w:t>To a</w:t>
      </w:r>
      <w:r w:rsidR="006F7614">
        <w:rPr>
          <w:rFonts w:asciiTheme="majorBidi" w:hAnsiTheme="majorBidi" w:cstheme="majorBidi"/>
          <w:kern w:val="0"/>
          <w14:ligatures w14:val="none"/>
        </w:rPr>
        <w:t>pply explainability methods,</w:t>
      </w:r>
      <w:r w:rsidR="006F7614" w:rsidRPr="00BC3F64">
        <w:rPr>
          <w:rFonts w:asciiTheme="majorBidi" w:hAnsiTheme="majorBidi" w:cstheme="majorBidi"/>
          <w:kern w:val="0"/>
          <w14:ligatures w14:val="none"/>
        </w:rPr>
        <w:t xml:space="preserve"> </w:t>
      </w:r>
      <w:r w:rsidR="006F7614">
        <w:rPr>
          <w:rFonts w:asciiTheme="majorBidi" w:hAnsiTheme="majorBidi" w:cstheme="majorBidi"/>
          <w:kern w:val="0"/>
          <w14:ligatures w14:val="none"/>
        </w:rPr>
        <w:t>including</w:t>
      </w:r>
      <w:r w:rsidR="006F7614" w:rsidRPr="00BC3F64">
        <w:rPr>
          <w:rFonts w:asciiTheme="majorBidi" w:hAnsiTheme="majorBidi" w:cstheme="majorBidi"/>
          <w:kern w:val="0"/>
          <w14:ligatures w14:val="none"/>
        </w:rPr>
        <w:t xml:space="preserve"> SHAP values, to identify the most influential clinical, laboratory, and pharmacological predictors of ADR occurrence.</w:t>
      </w:r>
    </w:p>
    <w:p w14:paraId="74BF938D" w14:textId="2A55D7A7" w:rsidR="006F7614" w:rsidRPr="00BC3F64" w:rsidRDefault="009F07F9" w:rsidP="006F7614">
      <w:pPr>
        <w:pStyle w:val="ListParagraph"/>
        <w:numPr>
          <w:ilvl w:val="0"/>
          <w:numId w:val="6"/>
        </w:numPr>
        <w:spacing w:line="360" w:lineRule="auto"/>
        <w:rPr>
          <w:rFonts w:asciiTheme="majorBidi" w:hAnsiTheme="majorBidi" w:cstheme="majorBidi"/>
        </w:rPr>
      </w:pPr>
      <w:r>
        <w:rPr>
          <w:rFonts w:asciiTheme="majorBidi" w:hAnsiTheme="majorBidi" w:cstheme="majorBidi"/>
          <w:kern w:val="0"/>
          <w14:ligatures w14:val="none"/>
        </w:rPr>
        <w:t>Then c</w:t>
      </w:r>
      <w:r w:rsidR="006F7614">
        <w:rPr>
          <w:rFonts w:asciiTheme="majorBidi" w:hAnsiTheme="majorBidi" w:cstheme="majorBidi"/>
          <w:kern w:val="0"/>
          <w14:ligatures w14:val="none"/>
        </w:rPr>
        <w:t>ompare t</w:t>
      </w:r>
      <w:r w:rsidR="006F7614" w:rsidRPr="00BC3F64">
        <w:rPr>
          <w:rFonts w:asciiTheme="majorBidi" w:hAnsiTheme="majorBidi" w:cstheme="majorBidi"/>
          <w:kern w:val="0"/>
          <w14:ligatures w14:val="none"/>
        </w:rPr>
        <w:t>he predictive performance and interpretability of the machine learning models</w:t>
      </w:r>
      <w:r w:rsidR="006F7614">
        <w:rPr>
          <w:rFonts w:asciiTheme="majorBidi" w:hAnsiTheme="majorBidi" w:cstheme="majorBidi"/>
          <w:kern w:val="0"/>
          <w14:ligatures w14:val="none"/>
        </w:rPr>
        <w:t xml:space="preserve"> </w:t>
      </w:r>
      <w:r w:rsidR="006F7614" w:rsidRPr="00BC3F64">
        <w:rPr>
          <w:rFonts w:asciiTheme="majorBidi" w:hAnsiTheme="majorBidi" w:cstheme="majorBidi"/>
          <w:kern w:val="0"/>
          <w14:ligatures w14:val="none"/>
        </w:rPr>
        <w:t>with the established clinical ADR risk score proposed by Lima et al. (2020).</w:t>
      </w:r>
    </w:p>
    <w:p w14:paraId="748C6CB3" w14:textId="0E19F1B6" w:rsidR="006F7614" w:rsidRPr="00BC3F64" w:rsidRDefault="0099536C" w:rsidP="006F7614">
      <w:pPr>
        <w:pStyle w:val="ListParagraph"/>
        <w:numPr>
          <w:ilvl w:val="0"/>
          <w:numId w:val="6"/>
        </w:numPr>
        <w:spacing w:line="360" w:lineRule="auto"/>
        <w:rPr>
          <w:rFonts w:asciiTheme="majorBidi" w:hAnsiTheme="majorBidi" w:cstheme="majorBidi"/>
        </w:rPr>
      </w:pPr>
      <w:r>
        <w:rPr>
          <w:rFonts w:asciiTheme="majorBidi" w:hAnsiTheme="majorBidi" w:cstheme="majorBidi"/>
          <w:kern w:val="0"/>
          <w14:ligatures w14:val="none"/>
        </w:rPr>
        <w:t>Finally, a</w:t>
      </w:r>
      <w:r w:rsidR="006F7614">
        <w:rPr>
          <w:rFonts w:asciiTheme="majorBidi" w:hAnsiTheme="majorBidi" w:cstheme="majorBidi"/>
          <w:kern w:val="0"/>
          <w14:ligatures w14:val="none"/>
        </w:rPr>
        <w:t>ssess the feasibility</w:t>
      </w:r>
      <w:r w:rsidR="006F7614" w:rsidRPr="00BC3F64">
        <w:rPr>
          <w:rFonts w:asciiTheme="majorBidi" w:hAnsiTheme="majorBidi" w:cstheme="majorBidi"/>
          <w:kern w:val="0"/>
          <w14:ligatures w14:val="none"/>
        </w:rPr>
        <w:t xml:space="preserve"> </w:t>
      </w:r>
      <w:r w:rsidR="006F7614">
        <w:rPr>
          <w:rFonts w:asciiTheme="majorBidi" w:hAnsiTheme="majorBidi" w:cstheme="majorBidi"/>
          <w:kern w:val="0"/>
          <w14:ligatures w14:val="none"/>
        </w:rPr>
        <w:t xml:space="preserve">of </w:t>
      </w:r>
      <w:r w:rsidR="006F7614" w:rsidRPr="00BC3F64">
        <w:rPr>
          <w:rFonts w:asciiTheme="majorBidi" w:hAnsiTheme="majorBidi" w:cstheme="majorBidi"/>
          <w:kern w:val="0"/>
          <w14:ligatures w14:val="none"/>
        </w:rPr>
        <w:t>integrat</w:t>
      </w:r>
      <w:r w:rsidR="006F7614">
        <w:rPr>
          <w:rFonts w:asciiTheme="majorBidi" w:hAnsiTheme="majorBidi" w:cstheme="majorBidi"/>
          <w:kern w:val="0"/>
          <w14:ligatures w14:val="none"/>
        </w:rPr>
        <w:t>ing</w:t>
      </w:r>
      <w:r w:rsidR="006F7614" w:rsidRPr="00BC3F64">
        <w:rPr>
          <w:rFonts w:asciiTheme="majorBidi" w:hAnsiTheme="majorBidi" w:cstheme="majorBidi"/>
          <w:kern w:val="0"/>
          <w14:ligatures w14:val="none"/>
        </w:rPr>
        <w:t xml:space="preserve"> machine-learning-based ADR risk predictions into clinical decision-support systems, with attention to both technical feasibility and practical relevance in real-world hospital settings.</w:t>
      </w:r>
    </w:p>
    <w:p w14:paraId="4A32FF32" w14:textId="77777777" w:rsidR="006F7614" w:rsidRPr="008A4C40" w:rsidRDefault="006F7614" w:rsidP="006F7614">
      <w:pPr>
        <w:spacing w:line="360" w:lineRule="auto"/>
        <w:rPr>
          <w:rFonts w:asciiTheme="majorBidi" w:hAnsiTheme="majorBidi" w:cstheme="majorBidi"/>
          <w:b/>
          <w:bCs/>
        </w:rPr>
      </w:pPr>
    </w:p>
    <w:p w14:paraId="2174F7DC" w14:textId="77777777" w:rsidR="006F7614" w:rsidRPr="00BC3F64" w:rsidRDefault="006F7614" w:rsidP="006F7614">
      <w:pPr>
        <w:pStyle w:val="ListParagraph"/>
        <w:numPr>
          <w:ilvl w:val="0"/>
          <w:numId w:val="5"/>
        </w:numPr>
        <w:spacing w:line="360" w:lineRule="auto"/>
        <w:rPr>
          <w:rFonts w:asciiTheme="majorBidi" w:hAnsiTheme="majorBidi" w:cstheme="majorBidi"/>
          <w:b/>
          <w:bCs/>
          <w:sz w:val="28"/>
          <w:szCs w:val="28"/>
        </w:rPr>
      </w:pPr>
      <w:r w:rsidRPr="00BC3F64">
        <w:rPr>
          <w:rFonts w:asciiTheme="majorBidi" w:hAnsiTheme="majorBidi" w:cstheme="majorBidi"/>
          <w:b/>
          <w:bCs/>
          <w:sz w:val="28"/>
          <w:szCs w:val="28"/>
        </w:rPr>
        <w:t>Methodology</w:t>
      </w:r>
    </w:p>
    <w:p w14:paraId="1F556C78" w14:textId="77777777" w:rsidR="006F7614" w:rsidRPr="001A256F" w:rsidRDefault="006F7614" w:rsidP="006F7614">
      <w:pPr>
        <w:pStyle w:val="ListParagraph"/>
        <w:numPr>
          <w:ilvl w:val="1"/>
          <w:numId w:val="5"/>
        </w:numPr>
        <w:spacing w:line="360" w:lineRule="auto"/>
        <w:rPr>
          <w:rFonts w:asciiTheme="majorBidi" w:hAnsiTheme="majorBidi" w:cstheme="majorBidi"/>
          <w:sz w:val="24"/>
          <w:szCs w:val="24"/>
          <w:u w:val="single"/>
        </w:rPr>
      </w:pPr>
      <w:r w:rsidRPr="001A256F">
        <w:rPr>
          <w:rFonts w:asciiTheme="majorBidi" w:hAnsiTheme="majorBidi" w:cstheme="majorBidi"/>
          <w:sz w:val="24"/>
          <w:szCs w:val="24"/>
          <w:u w:val="single"/>
        </w:rPr>
        <w:lastRenderedPageBreak/>
        <w:t>Data source and Study Design</w:t>
      </w:r>
    </w:p>
    <w:p w14:paraId="2B2EFE41" w14:textId="1A8DEE0E" w:rsidR="006F7614" w:rsidRDefault="006F7614" w:rsidP="006F7614">
      <w:pPr>
        <w:spacing w:line="360" w:lineRule="auto"/>
        <w:rPr>
          <w:rFonts w:asciiTheme="majorBidi" w:hAnsiTheme="majorBidi" w:cstheme="majorBidi"/>
        </w:rPr>
      </w:pPr>
      <w:r w:rsidRPr="00200033">
        <w:rPr>
          <w:rFonts w:asciiTheme="majorBidi" w:hAnsiTheme="majorBidi" w:cstheme="majorBidi"/>
        </w:rPr>
        <w:t xml:space="preserve">This </w:t>
      </w:r>
      <w:r>
        <w:rPr>
          <w:rFonts w:asciiTheme="majorBidi" w:hAnsiTheme="majorBidi" w:cstheme="majorBidi"/>
        </w:rPr>
        <w:t xml:space="preserve">study utilised a secondary analysis of a hospital-based dataset </w:t>
      </w:r>
      <w:r w:rsidRPr="00F93DAD">
        <w:rPr>
          <w:rFonts w:asciiTheme="majorBidi" w:hAnsiTheme="majorBidi" w:cstheme="majorBidi"/>
        </w:rPr>
        <w:t>c</w:t>
      </w:r>
      <w:r>
        <w:rPr>
          <w:rFonts w:asciiTheme="majorBidi" w:hAnsiTheme="majorBidi" w:cstheme="majorBidi"/>
        </w:rPr>
        <w:t>onducted</w:t>
      </w:r>
      <w:r w:rsidRPr="00F93DAD">
        <w:rPr>
          <w:rFonts w:asciiTheme="majorBidi" w:hAnsiTheme="majorBidi" w:cstheme="majorBidi"/>
        </w:rPr>
        <w:t xml:space="preserve"> at Onfore Lopes University Hospital in Natal, Brazil </w:t>
      </w:r>
      <w:r w:rsidRPr="00F93DAD">
        <w:rPr>
          <w:rFonts w:asciiTheme="majorBidi" w:hAnsiTheme="majorBidi" w:cstheme="majorBidi"/>
        </w:rPr>
        <w:fldChar w:fldCharType="begin"/>
      </w:r>
      <w:r w:rsidR="00A022A5">
        <w:rPr>
          <w:rFonts w:asciiTheme="majorBidi" w:hAnsiTheme="majorBidi" w:cstheme="majorBidi"/>
        </w:rPr>
        <w:instrText xml:space="preserve"> ADDIN ZOTERO_ITEM CSL_CITATION {"citationID":"YFEIJ1v3","properties":{"formattedCitation":"(Lima et al., 2020)","plainCitation":"(Lima et al., 2020)","noteIndex":0},"citationItems":[{"id":"EtHRhwhX/wsZAyTKH","uris":["http://zotero.org/users/13727123/items/4B88FD2V"],"itemData":{"id":510,"type":"article-journal","abstract":"Objective Development and internal validation of a clinical tool for assessment of the risk of adverse drug reactions (ADR) in hospitalized patients. Methodology Nested case-control study in an open cohort of all patients admitted to a general hospital. Cases of ADR were matched to two controls. Eighty four patient variables collected at the time of the ADR were analyzed by conditional logistic regression. Multivariate logistic regression with clustering of cases in a random sample of 2/3 of the cases and respective controls, with baseline odds-ratio corrected with an estimate of ADR incidence, was used to obtain regression coefficients for each risk factor and to develop a risk score. The clinical tool was validated in the remaining 1/3 observations. The study was approved by the institution’s research ethics committee. Results In the 8060 hospitalized patients, ADR occurred in 343 (5.31%), who were matched to 686 controls. Fourteen variables were identified as independent risk factors of ADR: female, past history of ADR, heart rate ≥72 bpm, systolic blood pressure≥148 mmHg, diastolic blood pressure &lt;79 mmHg, diabetes mellitus, serum urea ≥ 67 mg/dL, serum sodium ≥141 mmol/L, serum potassium ≥4.9 mmol/L, main diagnosis of neoplasia, prescription of ≥3 ATC class B drugs, prescription of ATC class R drugs, prescription of intravenous drugs and ≥ 6 oral drugs. In the validation sample, the ADR risk tool based on those variables showed sensitivity 61%, specificity 73% and area under the ROC curve 0.73. Conclusion We report a clinical tool for ADR risk stratification in patients hospitalized in general wards based on 14 variables.","container-title":"PLOS ONE","DOI":"10.1371/journal.pone.0243714","ISSN":"1932-6203","issue":"12","journalAbbreviation":"PLOS ONE","language":"en","note":"publisher: Public Library of Science","page":"e0243714","source":"PLoS Journals","title":"Development and validation of a clinical instrument to predict risk of an adverse drug reactions in hospitalized patients","volume":"15","author":[{"family":"Lima","given":"Sara Iasmin Vieira Cunha"},{"family":"Martins","given":"Rand Randall"},{"family":"Saldanha","given":"Valdjane"},{"family":"Silbiger","given":"Vivian Nogueira"},{"family":"Santos","given":"Isabelle Cristina Clemente","dropping-particle":"dos"},{"family":"Araújo","given":"Ivonete Batista","dropping-particle":"de"},{"family":"Oliveira","given":"Antonio Gouveia"}],"issued":{"date-parts":[["2020",12,11]]}}}],"schema":"https://github.com/citation-style-language/schema/raw/master/csl-citation.json"} </w:instrText>
      </w:r>
      <w:r w:rsidRPr="00F93DAD">
        <w:rPr>
          <w:rFonts w:asciiTheme="majorBidi" w:hAnsiTheme="majorBidi" w:cstheme="majorBidi"/>
        </w:rPr>
        <w:fldChar w:fldCharType="separate"/>
      </w:r>
      <w:r w:rsidRPr="00F93DAD">
        <w:rPr>
          <w:rFonts w:asciiTheme="majorBidi" w:hAnsiTheme="majorBidi" w:cstheme="majorBidi"/>
        </w:rPr>
        <w:t>(Lima et al., 2020)</w:t>
      </w:r>
      <w:r w:rsidRPr="00F93DAD">
        <w:rPr>
          <w:rFonts w:asciiTheme="majorBidi" w:hAnsiTheme="majorBidi" w:cstheme="majorBidi"/>
        </w:rPr>
        <w:fldChar w:fldCharType="end"/>
      </w:r>
      <w:r w:rsidRPr="00F93DAD">
        <w:rPr>
          <w:rFonts w:asciiTheme="majorBidi" w:hAnsiTheme="majorBidi" w:cstheme="majorBidi"/>
        </w:rPr>
        <w:t xml:space="preserve">. </w:t>
      </w:r>
      <w:r>
        <w:rPr>
          <w:rFonts w:asciiTheme="majorBidi" w:hAnsiTheme="majorBidi" w:cstheme="majorBidi"/>
        </w:rPr>
        <w:t>The dataset comprises</w:t>
      </w:r>
      <w:r w:rsidR="0099536C">
        <w:rPr>
          <w:rFonts w:asciiTheme="majorBidi" w:hAnsiTheme="majorBidi" w:cstheme="majorBidi"/>
        </w:rPr>
        <w:t xml:space="preserve"> of</w:t>
      </w:r>
      <w:r>
        <w:rPr>
          <w:rFonts w:asciiTheme="majorBidi" w:hAnsiTheme="majorBidi" w:cstheme="majorBidi"/>
        </w:rPr>
        <w:t xml:space="preserve"> </w:t>
      </w:r>
      <w:bookmarkStart w:id="2" w:name="_Ref216480389"/>
      <w:r w:rsidRPr="00683FBB">
        <w:rPr>
          <w:rFonts w:asciiTheme="majorBidi" w:hAnsiTheme="majorBidi" w:cstheme="majorBidi"/>
        </w:rPr>
        <w:t xml:space="preserve">patients admitted to </w:t>
      </w:r>
      <w:r>
        <w:rPr>
          <w:rFonts w:asciiTheme="majorBidi" w:hAnsiTheme="majorBidi" w:cstheme="majorBidi"/>
        </w:rPr>
        <w:t>a 247-bed</w:t>
      </w:r>
      <w:r w:rsidRPr="00683FBB">
        <w:rPr>
          <w:rFonts w:asciiTheme="majorBidi" w:hAnsiTheme="majorBidi" w:cstheme="majorBidi"/>
        </w:rPr>
        <w:t xml:space="preserve"> hospital between 2016 and December 2017. </w:t>
      </w:r>
      <w:r>
        <w:rPr>
          <w:rFonts w:asciiTheme="majorBidi" w:hAnsiTheme="majorBidi" w:cstheme="majorBidi"/>
        </w:rPr>
        <w:t xml:space="preserve">Ethical approval for the original data collection was granted by </w:t>
      </w:r>
      <w:r w:rsidRPr="00683FBB">
        <w:rPr>
          <w:rFonts w:asciiTheme="majorBidi" w:hAnsiTheme="majorBidi" w:cstheme="majorBidi"/>
        </w:rPr>
        <w:t>the Research Ethics Committee of the Federal University of Rio Grande do Norte (CAAE 34282914.0.0000.5992), and</w:t>
      </w:r>
      <w:r>
        <w:rPr>
          <w:rFonts w:asciiTheme="majorBidi" w:hAnsiTheme="majorBidi" w:cstheme="majorBidi"/>
        </w:rPr>
        <w:t xml:space="preserve"> all patient records were anonymised prior to analysis</w:t>
      </w:r>
      <w:r w:rsidRPr="00683FBB">
        <w:rPr>
          <w:rFonts w:asciiTheme="majorBidi" w:hAnsiTheme="majorBidi" w:cstheme="majorBidi"/>
        </w:rPr>
        <w:t>.</w:t>
      </w:r>
      <w:r>
        <w:rPr>
          <w:rFonts w:asciiTheme="majorBidi" w:hAnsiTheme="majorBidi" w:cstheme="majorBidi"/>
        </w:rPr>
        <w:t xml:space="preserve"> As this study involved secondary analysis of fully anonymised data</w:t>
      </w:r>
      <w:r w:rsidR="0099536C">
        <w:rPr>
          <w:rFonts w:asciiTheme="majorBidi" w:hAnsiTheme="majorBidi" w:cstheme="majorBidi"/>
        </w:rPr>
        <w:t>, as stated above, e</w:t>
      </w:r>
      <w:r>
        <w:rPr>
          <w:rFonts w:asciiTheme="majorBidi" w:hAnsiTheme="majorBidi" w:cstheme="majorBidi"/>
        </w:rPr>
        <w:t>thical approval was not required.</w:t>
      </w:r>
    </w:p>
    <w:p w14:paraId="090C24ED" w14:textId="4E1DCA13" w:rsidR="00647A27" w:rsidRPr="001A256F" w:rsidRDefault="0099536C" w:rsidP="001A256F">
      <w:pPr>
        <w:spacing w:line="360" w:lineRule="auto"/>
        <w:rPr>
          <w:rFonts w:asciiTheme="majorBidi" w:hAnsiTheme="majorBidi" w:cstheme="majorBidi"/>
        </w:rPr>
      </w:pPr>
      <w:r>
        <w:rPr>
          <w:rFonts w:asciiTheme="majorBidi" w:hAnsiTheme="majorBidi" w:cstheme="majorBidi"/>
        </w:rPr>
        <w:t>The i</w:t>
      </w:r>
      <w:r w:rsidR="006F7614">
        <w:rPr>
          <w:rFonts w:asciiTheme="majorBidi" w:hAnsiTheme="majorBidi" w:cstheme="majorBidi"/>
        </w:rPr>
        <w:t xml:space="preserve">nclusion criteria comprised adult patients aged </w:t>
      </w:r>
      <w:r w:rsidR="006F7614">
        <w:rPr>
          <w:rFonts w:asciiTheme="majorBidi" w:hAnsiTheme="majorBidi" w:cstheme="majorBidi"/>
          <w:kern w:val="0"/>
          <w14:ligatures w14:val="none"/>
        </w:rPr>
        <w:t>18 years or older, while exclusions included hospital stays longer than 24 hours, admission due to an adverse drug reaction, fewer than 1 prescribed medication, intensive care unit admission, pregnancy, transplantation,</w:t>
      </w:r>
      <w:r w:rsidR="006F7614">
        <w:rPr>
          <w:rFonts w:asciiTheme="majorBidi" w:hAnsiTheme="majorBidi" w:cstheme="majorBidi"/>
        </w:rPr>
        <w:t xml:space="preserve"> or chemotherapy. Repeated admissions for the same individual were identified using a unique lifelong patient identifier and excluded to ensure independence of observations</w:t>
      </w:r>
      <w:bookmarkEnd w:id="2"/>
      <w:r w:rsidR="00647A27">
        <w:rPr>
          <w:rFonts w:asciiTheme="majorBidi" w:hAnsiTheme="majorBidi" w:cstheme="majorBidi"/>
        </w:rPr>
        <w:t>.</w:t>
      </w:r>
    </w:p>
    <w:p w14:paraId="640F4C04" w14:textId="3D9A3D36" w:rsidR="006F7614" w:rsidRPr="00647A27" w:rsidRDefault="006F7614" w:rsidP="00647A27">
      <w:pPr>
        <w:pStyle w:val="ListParagraph"/>
        <w:numPr>
          <w:ilvl w:val="1"/>
          <w:numId w:val="5"/>
        </w:numPr>
        <w:spacing w:line="360" w:lineRule="auto"/>
        <w:rPr>
          <w:rFonts w:asciiTheme="majorBidi" w:hAnsiTheme="majorBidi" w:cstheme="majorBidi"/>
          <w:b/>
          <w:bCs/>
        </w:rPr>
      </w:pPr>
      <w:r w:rsidRPr="00647A27">
        <w:rPr>
          <w:rFonts w:asciiTheme="majorBidi" w:hAnsiTheme="majorBidi" w:cstheme="majorBidi"/>
          <w:b/>
          <w:bCs/>
        </w:rPr>
        <w:t xml:space="preserve"> Data Preparation and Preprocessing </w:t>
      </w:r>
    </w:p>
    <w:p w14:paraId="7E4DD4DA" w14:textId="34E4D2F0" w:rsidR="006F7614" w:rsidRDefault="00824B2C" w:rsidP="006F7614">
      <w:pPr>
        <w:spacing w:line="360" w:lineRule="auto"/>
        <w:rPr>
          <w:rFonts w:asciiTheme="majorBidi" w:hAnsiTheme="majorBidi" w:cstheme="majorBidi"/>
          <w:kern w:val="0"/>
          <w14:ligatures w14:val="none"/>
        </w:rPr>
      </w:pPr>
      <w:r>
        <w:rPr>
          <w:noProof/>
        </w:rPr>
        <mc:AlternateContent>
          <mc:Choice Requires="wps">
            <w:drawing>
              <wp:anchor distT="0" distB="0" distL="114300" distR="114300" simplePos="0" relativeHeight="251676672" behindDoc="0" locked="0" layoutInCell="1" allowOverlap="1" wp14:anchorId="40C8CBE6" wp14:editId="497D0CF1">
                <wp:simplePos x="0" y="0"/>
                <wp:positionH relativeFrom="margin">
                  <wp:align>center</wp:align>
                </wp:positionH>
                <wp:positionV relativeFrom="paragraph">
                  <wp:posOffset>3271943</wp:posOffset>
                </wp:positionV>
                <wp:extent cx="5731510" cy="635"/>
                <wp:effectExtent l="0" t="0" r="2540" b="0"/>
                <wp:wrapSquare wrapText="bothSides"/>
                <wp:docPr id="79170252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FC4F2B" w14:textId="04F5D04A" w:rsidR="00080346" w:rsidRPr="00564AA6" w:rsidRDefault="00080346" w:rsidP="00080346">
                            <w:pPr>
                              <w:pStyle w:val="Caption"/>
                              <w:rPr>
                                <w:rFonts w:asciiTheme="majorBidi" w:hAnsiTheme="majorBidi" w:cstheme="majorBidi"/>
                                <w:noProof/>
                                <w:sz w:val="22"/>
                                <w:szCs w:val="22"/>
                              </w:rPr>
                            </w:pPr>
                            <w:bookmarkStart w:id="3" w:name="_Ref219031198"/>
                            <w:r>
                              <w:rPr>
                                <w:rFonts w:asciiTheme="majorBidi" w:hAnsiTheme="majorBidi" w:cstheme="majorBidi"/>
                                <w:noProof/>
                              </w:rP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sidR="001E374B">
                              <w:rPr>
                                <w:rFonts w:asciiTheme="majorBidi" w:hAnsiTheme="majorBidi" w:cstheme="majorBidi"/>
                                <w:noProof/>
                              </w:rPr>
                              <w:t>1</w:t>
                            </w:r>
                            <w:r>
                              <w:rPr>
                                <w:rFonts w:asciiTheme="majorBidi" w:hAnsiTheme="majorBidi" w:cstheme="majorBidi"/>
                                <w:noProof/>
                              </w:rPr>
                              <w:fldChar w:fldCharType="end"/>
                            </w:r>
                            <w:bookmarkEnd w:id="3"/>
                            <w:r>
                              <w:rPr>
                                <w:rFonts w:asciiTheme="majorBidi" w:hAnsiTheme="majorBidi" w:cstheme="majorBidi"/>
                                <w:noProof/>
                              </w:rPr>
                              <w:t>:Preprocessing and the data work</w:t>
                            </w:r>
                            <w:r w:rsidR="00F833A8">
                              <w:rPr>
                                <w:rFonts w:asciiTheme="majorBidi" w:hAnsiTheme="majorBidi" w:cstheme="majorBidi"/>
                                <w:noProof/>
                              </w:rPr>
                              <w:t>f</w:t>
                            </w:r>
                            <w:r>
                              <w:rPr>
                                <w:rFonts w:asciiTheme="majorBidi" w:hAnsiTheme="majorBidi" w:cstheme="majorBidi"/>
                                <w:noProof/>
                              </w:rPr>
                              <w:t xml:space="preserve">low used in this study. The code shows feature selection from the hospital dataset, train-test splitting (80/20), and median </w:t>
                            </w:r>
                            <w:r w:rsidR="00F833A8">
                              <w:rPr>
                                <w:rFonts w:asciiTheme="majorBidi" w:hAnsiTheme="majorBidi" w:cstheme="majorBidi"/>
                                <w:noProof/>
                              </w:rPr>
                              <w:t xml:space="preserve">workflow applied to handling missing values, with statistics used derived from the training set and consistently applied to both training and test data to prevent data leakage.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C8CBE6" id="_x0000_t202" coordsize="21600,21600" o:spt="202" path="m,l,21600r21600,l21600,xe">
                <v:stroke joinstyle="miter"/>
                <v:path gradientshapeok="t" o:connecttype="rect"/>
              </v:shapetype>
              <v:shape id="Text Box 1" o:spid="_x0000_s1026" type="#_x0000_t202" style="position:absolute;margin-left:0;margin-top:257.65pt;width:451.3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" stroked="f">
                <v:textbox style="mso-fit-shape-to-text:t" inset="0,0,0,0">
                  <w:txbxContent>
                    <w:p w14:paraId="70FC4F2B" w14:textId="04F5D04A" w:rsidR="00080346" w:rsidRPr="00564AA6" w:rsidRDefault="00080346" w:rsidP="00080346">
                      <w:pPr>
                        <w:pStyle w:val="Caption"/>
                        <w:rPr>
                          <w:rFonts w:asciiTheme="majorBidi" w:hAnsiTheme="majorBidi" w:cstheme="majorBidi"/>
                          <w:noProof/>
                          <w:sz w:val="22"/>
                          <w:szCs w:val="22"/>
                        </w:rPr>
                      </w:pPr>
                      <w:bookmarkStart w:id="4" w:name="_Ref219031198"/>
                      <w:r>
                        <w:rPr>
                          <w:rFonts w:asciiTheme="majorBidi" w:hAnsiTheme="majorBidi" w:cstheme="majorBidi"/>
                          <w:noProof/>
                        </w:rP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sidR="001E374B">
                        <w:rPr>
                          <w:rFonts w:asciiTheme="majorBidi" w:hAnsiTheme="majorBidi" w:cstheme="majorBidi"/>
                          <w:noProof/>
                        </w:rPr>
                        <w:t>1</w:t>
                      </w:r>
                      <w:r>
                        <w:rPr>
                          <w:rFonts w:asciiTheme="majorBidi" w:hAnsiTheme="majorBidi" w:cstheme="majorBidi"/>
                          <w:noProof/>
                        </w:rPr>
                        <w:fldChar w:fldCharType="end"/>
                      </w:r>
                      <w:bookmarkEnd w:id="4"/>
                      <w:r>
                        <w:rPr>
                          <w:rFonts w:asciiTheme="majorBidi" w:hAnsiTheme="majorBidi" w:cstheme="majorBidi"/>
                          <w:noProof/>
                        </w:rPr>
                        <w:t>:Preprocessing and the data work</w:t>
                      </w:r>
                      <w:r w:rsidR="00F833A8">
                        <w:rPr>
                          <w:rFonts w:asciiTheme="majorBidi" w:hAnsiTheme="majorBidi" w:cstheme="majorBidi"/>
                          <w:noProof/>
                        </w:rPr>
                        <w:t>f</w:t>
                      </w:r>
                      <w:r>
                        <w:rPr>
                          <w:rFonts w:asciiTheme="majorBidi" w:hAnsiTheme="majorBidi" w:cstheme="majorBidi"/>
                          <w:noProof/>
                        </w:rPr>
                        <w:t xml:space="preserve">low used in this study. The code shows feature selection from the hospital dataset, train-test splitting (80/20), and median </w:t>
                      </w:r>
                      <w:r w:rsidR="00F833A8">
                        <w:rPr>
                          <w:rFonts w:asciiTheme="majorBidi" w:hAnsiTheme="majorBidi" w:cstheme="majorBidi"/>
                          <w:noProof/>
                        </w:rPr>
                        <w:t xml:space="preserve">workflow applied to handling missing values, with statistics used derived from the training set and consistently applied to both training and test data to prevent data leakage. </w:t>
                      </w:r>
                    </w:p>
                  </w:txbxContent>
                </v:textbox>
                <w10:wrap type="square" anchorx="margin"/>
              </v:shape>
            </w:pict>
          </mc:Fallback>
        </mc:AlternateContent>
      </w:r>
      <w:r w:rsidRPr="00F93DAD">
        <w:rPr>
          <w:rFonts w:asciiTheme="majorBidi" w:hAnsiTheme="majorBidi" w:cstheme="majorBidi"/>
          <w:noProof/>
        </w:rPr>
        <w:drawing>
          <wp:anchor distT="0" distB="0" distL="114300" distR="114300" simplePos="0" relativeHeight="251659264" behindDoc="0" locked="0" layoutInCell="1" allowOverlap="1" wp14:anchorId="79B785FF" wp14:editId="6A118F9B">
            <wp:simplePos x="0" y="0"/>
            <wp:positionH relativeFrom="margin">
              <wp:posOffset>-25400</wp:posOffset>
            </wp:positionH>
            <wp:positionV relativeFrom="paragraph">
              <wp:posOffset>913342</wp:posOffset>
            </wp:positionV>
            <wp:extent cx="5731510" cy="2235200"/>
            <wp:effectExtent l="0" t="0" r="2540" b="0"/>
            <wp:wrapSquare wrapText="bothSides"/>
            <wp:docPr id="18983933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93383" name="Picture 1" descr="A screenshot of a computer program&#10;&#10;AI-generated content may be incorrect."/>
                    <pic:cNvPicPr/>
                  </pic:nvPicPr>
                  <pic:blipFill rotWithShape="1">
                    <a:blip r:embed="rId6">
                      <a:extLst>
                        <a:ext uri="{28A0092B-C50C-407E-A947-70E740481C1C}">
                          <a14:useLocalDpi xmlns:a14="http://schemas.microsoft.com/office/drawing/2010/main" val="0"/>
                        </a:ext>
                      </a:extLst>
                    </a:blip>
                    <a:srcRect b="26112"/>
                    <a:stretch>
                      <a:fillRect/>
                    </a:stretch>
                  </pic:blipFill>
                  <pic:spPr bwMode="auto">
                    <a:xfrm>
                      <a:off x="0" y="0"/>
                      <a:ext cx="5731510" cy="223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7614">
        <w:rPr>
          <w:rFonts w:asciiTheme="majorBidi" w:hAnsiTheme="majorBidi" w:cstheme="majorBidi"/>
          <w:noProof/>
        </w:rPr>
        <w:t xml:space="preserve"> The data was downloaded and imported into Python, and the structure, completeness, and variable consistency were inspected. As shown in </w:t>
      </w:r>
      <w:r w:rsidR="00647A27">
        <w:rPr>
          <w:rFonts w:asciiTheme="majorBidi" w:hAnsiTheme="majorBidi" w:cstheme="majorBidi"/>
          <w:noProof/>
        </w:rPr>
        <w:fldChar w:fldCharType="begin"/>
      </w:r>
      <w:r w:rsidR="00647A27">
        <w:rPr>
          <w:rFonts w:asciiTheme="majorBidi" w:hAnsiTheme="majorBidi" w:cstheme="majorBidi"/>
          <w:noProof/>
        </w:rPr>
        <w:instrText xml:space="preserve"> REF _Ref219031198 \h </w:instrText>
      </w:r>
      <w:r w:rsidR="00647A27">
        <w:rPr>
          <w:rFonts w:asciiTheme="majorBidi" w:hAnsiTheme="majorBidi" w:cstheme="majorBidi"/>
          <w:noProof/>
        </w:rPr>
      </w:r>
      <w:r w:rsidR="00647A27">
        <w:rPr>
          <w:rFonts w:asciiTheme="majorBidi" w:hAnsiTheme="majorBidi" w:cstheme="majorBidi"/>
          <w:noProof/>
        </w:rPr>
        <w:fldChar w:fldCharType="separate"/>
      </w:r>
      <w:r w:rsidR="00647A27">
        <w:rPr>
          <w:rFonts w:asciiTheme="majorBidi" w:hAnsiTheme="majorBidi" w:cstheme="majorBidi"/>
          <w:noProof/>
        </w:rPr>
        <w:t>Figure 1</w:t>
      </w:r>
      <w:r w:rsidR="00647A27">
        <w:rPr>
          <w:rFonts w:asciiTheme="majorBidi" w:hAnsiTheme="majorBidi" w:cstheme="majorBidi"/>
          <w:noProof/>
        </w:rPr>
        <w:fldChar w:fldCharType="end"/>
      </w:r>
      <w:r w:rsidR="006F7614">
        <w:rPr>
          <w:rFonts w:asciiTheme="majorBidi" w:hAnsiTheme="majorBidi" w:cstheme="majorBidi"/>
          <w:noProof/>
        </w:rPr>
        <w:t>, libraries such as pandas and NumPy for visualisations were used where applicable, and explicitly used ‘pd.read_excel’ to extract the Excel sheet into Python.</w:t>
      </w:r>
      <w:r w:rsidR="0099536C">
        <w:rPr>
          <w:rFonts w:asciiTheme="majorBidi" w:hAnsiTheme="majorBidi" w:cstheme="majorBidi"/>
          <w:noProof/>
        </w:rPr>
        <w:t xml:space="preserve"> </w:t>
      </w:r>
      <w:r w:rsidR="006F7614">
        <w:rPr>
          <w:rFonts w:asciiTheme="majorBidi" w:hAnsiTheme="majorBidi" w:cstheme="majorBidi"/>
          <w:noProof/>
        </w:rPr>
        <w:t>The code used is seen in Figure 1</w:t>
      </w:r>
      <w:r w:rsidR="006F7614">
        <w:rPr>
          <w:rFonts w:asciiTheme="majorBidi" w:hAnsiTheme="majorBidi" w:cstheme="majorBidi"/>
          <w:kern w:val="0"/>
          <w14:ligatures w14:val="none"/>
        </w:rPr>
        <w:t>.</w:t>
      </w:r>
    </w:p>
    <w:p w14:paraId="68B826ED" w14:textId="7278B06B" w:rsidR="006F7614" w:rsidRPr="001A256F" w:rsidRDefault="006F7614" w:rsidP="001A256F">
      <w:pPr>
        <w:spacing w:line="360" w:lineRule="auto"/>
        <w:rPr>
          <w:rFonts w:asciiTheme="majorBidi" w:hAnsiTheme="majorBidi" w:cstheme="majorBidi"/>
          <w:kern w:val="0"/>
          <w14:ligatures w14:val="none"/>
        </w:rPr>
      </w:pPr>
      <w:r w:rsidRPr="00F93DAD">
        <w:rPr>
          <w:rFonts w:asciiTheme="majorBidi" w:hAnsiTheme="majorBidi" w:cstheme="majorBidi"/>
        </w:rPr>
        <w:t xml:space="preserve">Features </w:t>
      </w:r>
      <w:r>
        <w:rPr>
          <w:rFonts w:asciiTheme="majorBidi" w:hAnsiTheme="majorBidi" w:cstheme="majorBidi"/>
        </w:rPr>
        <w:t>ir</w:t>
      </w:r>
      <w:r w:rsidRPr="00F93DAD">
        <w:rPr>
          <w:rFonts w:asciiTheme="majorBidi" w:hAnsiTheme="majorBidi" w:cstheme="majorBidi"/>
        </w:rPr>
        <w:t xml:space="preserve">relevant to the research question (e.g. patient number, </w:t>
      </w:r>
      <w:r>
        <w:rPr>
          <w:rFonts w:asciiTheme="majorBidi" w:hAnsiTheme="majorBidi" w:cstheme="majorBidi"/>
        </w:rPr>
        <w:t>ICD-10 chapter</w:t>
      </w:r>
      <w:r w:rsidRPr="00F93DAD">
        <w:rPr>
          <w:rFonts w:asciiTheme="majorBidi" w:hAnsiTheme="majorBidi" w:cstheme="majorBidi"/>
        </w:rPr>
        <w:t xml:space="preserve">, days since admission) were removed to reduce </w:t>
      </w:r>
      <w:r w:rsidR="0099536C">
        <w:rPr>
          <w:rFonts w:asciiTheme="majorBidi" w:hAnsiTheme="majorBidi" w:cstheme="majorBidi"/>
        </w:rPr>
        <w:t>interference</w:t>
      </w:r>
      <w:r>
        <w:rPr>
          <w:rFonts w:asciiTheme="majorBidi" w:hAnsiTheme="majorBidi" w:cstheme="majorBidi"/>
        </w:rPr>
        <w:t>,</w:t>
      </w:r>
      <w:r w:rsidRPr="00F93DAD">
        <w:rPr>
          <w:rFonts w:asciiTheme="majorBidi" w:hAnsiTheme="majorBidi" w:cstheme="majorBidi"/>
        </w:rPr>
        <w:t xml:space="preserve"> </w:t>
      </w:r>
      <w:r>
        <w:rPr>
          <w:rFonts w:asciiTheme="majorBidi" w:hAnsiTheme="majorBidi" w:cstheme="majorBidi"/>
        </w:rPr>
        <w:t xml:space="preserve">as </w:t>
      </w:r>
      <w:r w:rsidR="0099536C">
        <w:rPr>
          <w:rFonts w:asciiTheme="majorBidi" w:hAnsiTheme="majorBidi" w:cstheme="majorBidi"/>
        </w:rPr>
        <w:t xml:space="preserve">shown in </w:t>
      </w:r>
      <w:r w:rsidRPr="00F93DAD">
        <w:rPr>
          <w:rFonts w:asciiTheme="majorBidi" w:hAnsiTheme="majorBidi" w:cstheme="majorBidi"/>
        </w:rPr>
        <w:t>prior ADR modelling studies</w:t>
      </w:r>
      <w:r>
        <w:rPr>
          <w:rFonts w:asciiTheme="majorBidi" w:hAnsiTheme="majorBidi" w:cstheme="majorBidi"/>
        </w:rPr>
        <w:t>,</w:t>
      </w:r>
      <w:r w:rsidRPr="00F93DAD">
        <w:rPr>
          <w:rFonts w:asciiTheme="majorBidi" w:hAnsiTheme="majorBidi" w:cstheme="majorBidi"/>
        </w:rPr>
        <w:t xml:space="preserve"> </w:t>
      </w:r>
      <w:r w:rsidR="0099536C">
        <w:rPr>
          <w:rFonts w:asciiTheme="majorBidi" w:hAnsiTheme="majorBidi" w:cstheme="majorBidi"/>
        </w:rPr>
        <w:t>and</w:t>
      </w:r>
      <w:r w:rsidRPr="00F93DAD">
        <w:rPr>
          <w:rFonts w:asciiTheme="majorBidi" w:hAnsiTheme="majorBidi" w:cstheme="majorBidi"/>
        </w:rPr>
        <w:t xml:space="preserve"> improve predictive signal </w:t>
      </w:r>
      <w:r w:rsidRPr="00F93DAD">
        <w:rPr>
          <w:rFonts w:asciiTheme="majorBidi" w:hAnsiTheme="majorBidi" w:cstheme="majorBidi"/>
        </w:rPr>
        <w:fldChar w:fldCharType="begin"/>
      </w:r>
      <w:r w:rsidR="00A022A5">
        <w:rPr>
          <w:rFonts w:asciiTheme="majorBidi" w:hAnsiTheme="majorBidi" w:cstheme="majorBidi"/>
        </w:rPr>
        <w:instrText xml:space="preserve"> ADDIN ZOTERO_ITEM CSL_CITATION {"citationID":"71tNZR79","properties":{"formattedCitation":"(Wolff et al., 2023a; Wu et al., 2025)","plainCitation":"(Wolff et al., 2023a; Wu et al., 2025)","noteIndex":0},"citationItems":[{"id":"EtHRhwhX/flgvc3Ms","uris":["http://zotero.org/users/13727123/items/H9KQEICE"],"itemData":{"id":546,"type":"article-journal","abstract":"Adverse Drug Reaction (ADR) in hospitalized patients have significant impacts on costs as well as on morbidity and mortality. A subset of ADR is preventable at the moment of prescribing. The use of supervised learning tools has been shown to be a good alternative to predict ADR, but more research is needed to make it a standard. A study was conducted to demonstrate how the use of machine learning methods can strengthen the ability to predict ADR in hospitalized patients. Binary classification models were constructed using three class balancing, feature selection and supervised learning approaches known as deep learning, random forest, and gradient boosting trees. Five-fold cross-validation and various evaluation metrics such as AUC, recall and F-measure were used to evaluate the models’ performance. Gradient boosting trees models was the approach that performed best, exhibiting a recall level of 78.3% and an ROC curve AUC of 0.81. Findings on attribute importance were also generated, which should thus prove useful in developing tools for clinical applications. Our predictive models’ results outperform those reported in the recent literature using traditional statistical methods. In this work we have shown the enormous potential of ML tools in this field and their great contribution to the development of information systems that use them.","collection-title":"27th International Conference on Knowledge Based and Intelligent Information and Engineering Sytems (KES 2023)","container-title":"Procedia Computer Science","DOI":"10.1016/j.procs.2023.09.087","ISSN":"1877-0509","journalAbbreviation":"Procedia Computer Science","page":"22-31","source":"ScienceDirect","title":"Machine Learning Methods for Predicting Adverse Drug Reactions in Hospitalized Patients","volume":"225","author":[{"family":"Wolff","given":"Patricio"},{"family":"Ríos","given":"Sebastián A."},{"family":"Gonzáles","given":"Claudio"}],"issued":{"date-parts":[["2023",1,1]]}}},{"id":525,"uris":["http://zotero.org/users/13727123/items/R98J6IZX"],"itemData":{"id":525,"type":"article-journal","abstract":"Background\nChemotherapy-induced adverse drug reactions (ADRs) are common in patients with colorectal cancer. We developed four machine learning models to predict chemotherapy-induced ADRs and assessed the performance. These models leverage high-dimensional data and non-linear relationships, offering better predictive accuracy than traditional methods.\nMethods and materials\nWe used 11 variables (age, sex, number of chemotherapy cycles, hypertension, diabetes, chemotherapy regimen, liver and kidney function, history of adverse reactions, concomitant radiotherapy, and bevacizumab use) to predict six chemotherapy-induced ADRs: nausea and vomiting, neutropenia, thrombocytopenia, anemia, peripheral neuropathy, bleeding, and overall ADRs. Four models were assessed (Random Forest, Support Vector Machine, XGBoost and LASSO Regression).\nResults\nA total of 4072 chemotherapy cycles were analyzed, including2,147 XELOX, 768 FOLFOX, 1005 FOLFIRI, and 152 other cycles. The accuracy of the models in predicting overall ADRs was 0.8779(Random Forest), 0.8377(Support Vector Machine), 0.8758(XGBoost) and 0.7443(LASSO Regression) respectively. The models predicted individual ADRs better than overall ADRs of which Random Forest performed the best.\nConclusion\nThese models effectively predict chemotherapy side effects, offering improved accuracy and generalization over traditional methods. They aid clinicians in making informed decisions and contribute to personalized medicine for patients.","container-title":"Digestive and Liver Disease","DOI":"10.1016/j.dld.2025.06.007","ISSN":"1590-8658","issue":"9","journalAbbreviation":"Digestive and Liver Disease","page":"1845-1852","source":"ScienceDirect","title":"Machine learning models for predicting chemotherapy-induced adverse drug reactions in colorectal cancer patients","volume":"57","author":[{"family":"Wu","given":"Yingfei"},{"family":"Zhao","given":"Wei"},{"family":"Zhang","given":"Linxiao"},{"family":"Wang","given":"Ying"},{"family":"Wen","given":"Ying"},{"family":"Liu","given":"Lan"}],"issued":{"date-parts":[["2025",9,1]]}}}],"schema":"https://github.com/citation-style-language/schema/raw/master/csl-citation.json"} </w:instrText>
      </w:r>
      <w:r w:rsidRPr="00F93DAD">
        <w:rPr>
          <w:rFonts w:asciiTheme="majorBidi" w:hAnsiTheme="majorBidi" w:cstheme="majorBidi"/>
        </w:rPr>
        <w:fldChar w:fldCharType="separate"/>
      </w:r>
      <w:r w:rsidRPr="00EF72A1">
        <w:rPr>
          <w:rFonts w:ascii="Times New Roman" w:hAnsi="Times New Roman" w:cs="Times New Roman"/>
        </w:rPr>
        <w:t>(Wolff et al., 2023a; Wu et al., 2025)</w:t>
      </w:r>
      <w:r w:rsidRPr="00F93DAD">
        <w:rPr>
          <w:rFonts w:asciiTheme="majorBidi" w:hAnsiTheme="majorBidi" w:cstheme="majorBidi"/>
        </w:rPr>
        <w:fldChar w:fldCharType="end"/>
      </w:r>
      <w:r>
        <w:rPr>
          <w:rFonts w:asciiTheme="majorBidi" w:hAnsiTheme="majorBidi" w:cstheme="majorBidi"/>
        </w:rPr>
        <w:t xml:space="preserve">. </w:t>
      </w:r>
      <w:r>
        <w:rPr>
          <w:rFonts w:asciiTheme="majorBidi" w:hAnsiTheme="majorBidi" w:cstheme="majorBidi"/>
          <w:kern w:val="0"/>
          <w14:ligatures w14:val="none"/>
        </w:rPr>
        <w:t xml:space="preserve">Missing values were handled using median </w:t>
      </w:r>
      <w:r w:rsidR="00846E30">
        <w:rPr>
          <w:rFonts w:asciiTheme="majorBidi" w:hAnsiTheme="majorBidi" w:cstheme="majorBidi"/>
          <w:kern w:val="0"/>
          <w14:ligatures w14:val="none"/>
        </w:rPr>
        <w:t>attribution</w:t>
      </w:r>
      <w:r>
        <w:rPr>
          <w:rFonts w:asciiTheme="majorBidi" w:hAnsiTheme="majorBidi" w:cstheme="majorBidi"/>
          <w:kern w:val="0"/>
          <w14:ligatures w14:val="none"/>
        </w:rPr>
        <w:t xml:space="preserve">, with </w:t>
      </w:r>
      <w:r>
        <w:rPr>
          <w:rFonts w:asciiTheme="majorBidi" w:hAnsiTheme="majorBidi" w:cstheme="majorBidi"/>
          <w:kern w:val="0"/>
          <w14:ligatures w14:val="none"/>
        </w:rPr>
        <w:lastRenderedPageBreak/>
        <w:t xml:space="preserve">imputation statistics calculated from the training dataset and applied to both the training and test sets to prevent data leakage. Median imputation was selected for its </w:t>
      </w:r>
      <w:r w:rsidR="008E3462">
        <w:rPr>
          <w:rFonts w:asciiTheme="majorBidi" w:hAnsiTheme="majorBidi" w:cstheme="majorBidi"/>
          <w:kern w:val="0"/>
          <w14:ligatures w14:val="none"/>
        </w:rPr>
        <w:t xml:space="preserve">resistance </w:t>
      </w:r>
      <w:r>
        <w:rPr>
          <w:rFonts w:asciiTheme="majorBidi" w:hAnsiTheme="majorBidi" w:cstheme="majorBidi"/>
          <w:kern w:val="0"/>
          <w14:ligatures w14:val="none"/>
        </w:rPr>
        <w:t xml:space="preserve">to outliers and </w:t>
      </w:r>
      <w:r w:rsidR="00846E30">
        <w:rPr>
          <w:rFonts w:asciiTheme="majorBidi" w:hAnsiTheme="majorBidi" w:cstheme="majorBidi"/>
          <w:kern w:val="0"/>
          <w14:ligatures w14:val="none"/>
        </w:rPr>
        <w:t>appropriateness</w:t>
      </w:r>
      <w:r>
        <w:rPr>
          <w:rFonts w:asciiTheme="majorBidi" w:hAnsiTheme="majorBidi" w:cstheme="majorBidi"/>
          <w:kern w:val="0"/>
          <w14:ligatures w14:val="none"/>
        </w:rPr>
        <w:t xml:space="preserve"> for skewed clinical laboratory data, such as creatinine, sodium, and urea levels. Following imputation, all predictors contained complete values and were compatible with machine-learning algorithms</w:t>
      </w:r>
      <w:r w:rsidR="002A7144">
        <w:rPr>
          <w:rFonts w:asciiTheme="majorBidi" w:hAnsiTheme="majorBidi" w:cstheme="majorBidi"/>
          <w:kern w:val="0"/>
          <w14:ligatures w14:val="none"/>
        </w:rPr>
        <w:t xml:space="preserve">, </w:t>
      </w:r>
      <w:r w:rsidR="00C8026D">
        <w:rPr>
          <w:rFonts w:asciiTheme="majorBidi" w:hAnsiTheme="majorBidi" w:cstheme="majorBidi"/>
          <w:kern w:val="0"/>
          <w14:ligatures w14:val="none"/>
        </w:rPr>
        <w:t>as sh</w:t>
      </w:r>
      <w:r w:rsidR="00C8026D" w:rsidRPr="00375102">
        <w:rPr>
          <w:rFonts w:asciiTheme="majorBidi" w:hAnsiTheme="majorBidi" w:cstheme="majorBidi"/>
          <w:kern w:val="0"/>
          <w14:ligatures w14:val="none"/>
        </w:rPr>
        <w:t>own</w:t>
      </w:r>
      <w:r w:rsidR="002A7144">
        <w:rPr>
          <w:rFonts w:asciiTheme="majorBidi" w:hAnsiTheme="majorBidi" w:cstheme="majorBidi"/>
          <w:kern w:val="0"/>
          <w14:ligatures w14:val="none"/>
        </w:rPr>
        <w:t xml:space="preserve"> </w:t>
      </w:r>
      <w:r w:rsidR="00375102">
        <w:rPr>
          <w:rFonts w:asciiTheme="majorBidi" w:hAnsiTheme="majorBidi" w:cstheme="majorBidi"/>
          <w:kern w:val="0"/>
          <w14:ligatures w14:val="none"/>
        </w:rPr>
        <w:fldChar w:fldCharType="begin"/>
      </w:r>
      <w:r w:rsidR="00375102">
        <w:rPr>
          <w:rFonts w:asciiTheme="majorBidi" w:hAnsiTheme="majorBidi" w:cstheme="majorBidi"/>
          <w:kern w:val="0"/>
          <w14:ligatures w14:val="none"/>
        </w:rPr>
        <w:instrText xml:space="preserve"> REF _Ref219051580 \h </w:instrText>
      </w:r>
      <w:r w:rsidR="00375102">
        <w:rPr>
          <w:rFonts w:asciiTheme="majorBidi" w:hAnsiTheme="majorBidi" w:cstheme="majorBidi"/>
          <w:kern w:val="0"/>
          <w14:ligatures w14:val="none"/>
        </w:rPr>
      </w:r>
      <w:r w:rsidR="00375102">
        <w:rPr>
          <w:rFonts w:asciiTheme="majorBidi" w:hAnsiTheme="majorBidi" w:cstheme="majorBidi"/>
          <w:kern w:val="0"/>
          <w14:ligatures w14:val="none"/>
        </w:rPr>
        <w:fldChar w:fldCharType="separate"/>
      </w:r>
      <w:r w:rsidR="00375102" w:rsidRPr="00375102">
        <w:t xml:space="preserve">Appendix </w:t>
      </w:r>
      <w:r w:rsidR="00375102" w:rsidRPr="00375102">
        <w:rPr>
          <w:noProof/>
        </w:rPr>
        <w:t>1</w:t>
      </w:r>
      <w:r w:rsidR="00375102">
        <w:rPr>
          <w:rFonts w:asciiTheme="majorBidi" w:hAnsiTheme="majorBidi" w:cstheme="majorBidi"/>
          <w:kern w:val="0"/>
          <w14:ligatures w14:val="none"/>
        </w:rPr>
        <w:fldChar w:fldCharType="end"/>
      </w:r>
      <w:r w:rsidR="00375102">
        <w:rPr>
          <w:rFonts w:asciiTheme="majorBidi" w:hAnsiTheme="majorBidi" w:cstheme="majorBidi"/>
          <w:kern w:val="0"/>
          <w14:ligatures w14:val="none"/>
        </w:rPr>
        <w:t>.</w:t>
      </w:r>
    </w:p>
    <w:p w14:paraId="0F80C48C" w14:textId="16DFD5A2" w:rsidR="006F7614" w:rsidRPr="001A256F" w:rsidRDefault="006F7614" w:rsidP="00647A27">
      <w:pPr>
        <w:pStyle w:val="ListParagraph"/>
        <w:numPr>
          <w:ilvl w:val="1"/>
          <w:numId w:val="5"/>
        </w:numPr>
        <w:spacing w:line="360" w:lineRule="auto"/>
        <w:rPr>
          <w:rFonts w:asciiTheme="majorBidi" w:hAnsiTheme="majorBidi" w:cstheme="majorBidi"/>
          <w:sz w:val="24"/>
          <w:szCs w:val="24"/>
          <w:u w:val="single"/>
        </w:rPr>
      </w:pPr>
      <w:r w:rsidRPr="001A256F">
        <w:rPr>
          <w:rFonts w:asciiTheme="majorBidi" w:hAnsiTheme="majorBidi" w:cstheme="majorBidi"/>
          <w:sz w:val="24"/>
          <w:szCs w:val="24"/>
          <w:u w:val="single"/>
        </w:rPr>
        <w:t>Data loading &amp; initial inspection</w:t>
      </w:r>
    </w:p>
    <w:p w14:paraId="5A00F032" w14:textId="72E8E74D" w:rsidR="006F7614" w:rsidRPr="00F93DAD" w:rsidRDefault="006F7614" w:rsidP="006F7614">
      <w:pPr>
        <w:spacing w:line="360" w:lineRule="auto"/>
        <w:rPr>
          <w:rFonts w:asciiTheme="majorBidi" w:hAnsiTheme="majorBidi" w:cstheme="majorBidi"/>
        </w:rPr>
      </w:pPr>
      <w:r w:rsidRPr="00F93DAD">
        <w:rPr>
          <w:rFonts w:asciiTheme="majorBidi" w:hAnsiTheme="majorBidi" w:cstheme="majorBidi"/>
        </w:rPr>
        <w:t>As shown in</w:t>
      </w:r>
      <w:r w:rsidR="00C8026D">
        <w:rPr>
          <w:rFonts w:asciiTheme="majorBidi" w:hAnsiTheme="majorBidi" w:cstheme="majorBidi"/>
        </w:rPr>
        <w:t xml:space="preserve"> </w:t>
      </w:r>
      <w:r w:rsidR="00C8026D">
        <w:rPr>
          <w:rFonts w:asciiTheme="majorBidi" w:hAnsiTheme="majorBidi" w:cstheme="majorBidi"/>
        </w:rPr>
        <w:fldChar w:fldCharType="begin"/>
      </w:r>
      <w:r w:rsidR="00C8026D">
        <w:rPr>
          <w:rFonts w:asciiTheme="majorBidi" w:hAnsiTheme="majorBidi" w:cstheme="majorBidi"/>
        </w:rPr>
        <w:instrText xml:space="preserve"> REF _Ref219031198 \h </w:instrText>
      </w:r>
      <w:r w:rsidR="00C8026D">
        <w:rPr>
          <w:rFonts w:asciiTheme="majorBidi" w:hAnsiTheme="majorBidi" w:cstheme="majorBidi"/>
        </w:rPr>
      </w:r>
      <w:r w:rsidR="00C8026D">
        <w:rPr>
          <w:rFonts w:asciiTheme="majorBidi" w:hAnsiTheme="majorBidi" w:cstheme="majorBidi"/>
        </w:rPr>
        <w:fldChar w:fldCharType="separate"/>
      </w:r>
      <w:r w:rsidR="00C8026D">
        <w:rPr>
          <w:rFonts w:asciiTheme="majorBidi" w:hAnsiTheme="majorBidi" w:cstheme="majorBidi"/>
          <w:noProof/>
        </w:rPr>
        <w:t>Figure 1</w:t>
      </w:r>
      <w:r w:rsidR="00C8026D">
        <w:rPr>
          <w:rFonts w:asciiTheme="majorBidi" w:hAnsiTheme="majorBidi" w:cstheme="majorBidi"/>
        </w:rPr>
        <w:fldChar w:fldCharType="end"/>
      </w:r>
      <w:r>
        <w:rPr>
          <w:rFonts w:asciiTheme="majorBidi" w:hAnsiTheme="majorBidi" w:cstheme="majorBidi"/>
        </w:rPr>
        <w:t>, t</w:t>
      </w:r>
      <w:r w:rsidRPr="00F93DAD">
        <w:rPr>
          <w:rFonts w:asciiTheme="majorBidi" w:hAnsiTheme="majorBidi" w:cstheme="majorBidi"/>
        </w:rPr>
        <w:t xml:space="preserve">he dataset was loaded into Python using pandas.read_excel, creating a DataFrame for systematic analysis of diverse clinical and laboratory variables. After importing the file, </w:t>
      </w:r>
      <w:r>
        <w:rPr>
          <w:rFonts w:asciiTheme="majorBidi" w:hAnsiTheme="majorBidi" w:cstheme="majorBidi"/>
        </w:rPr>
        <w:t xml:space="preserve">the dataset was </w:t>
      </w:r>
      <w:r w:rsidRPr="00F93DAD">
        <w:rPr>
          <w:rFonts w:asciiTheme="majorBidi" w:hAnsiTheme="majorBidi" w:cstheme="majorBidi"/>
        </w:rPr>
        <w:t xml:space="preserve">reviewed by displaying the first rows, examining the number of records and variables, and </w:t>
      </w:r>
      <w:r>
        <w:rPr>
          <w:rFonts w:asciiTheme="majorBidi" w:hAnsiTheme="majorBidi" w:cstheme="majorBidi"/>
        </w:rPr>
        <w:t>summarising</w:t>
      </w:r>
      <w:r w:rsidRPr="00F93DAD">
        <w:rPr>
          <w:rFonts w:asciiTheme="majorBidi" w:hAnsiTheme="majorBidi" w:cstheme="majorBidi"/>
        </w:rPr>
        <w:t xml:space="preserve"> key statistics to understand its structure and detect issues such as missing data or inconsistent codes. This initial review exposed common real-world health data challenges: incomplete values, redundant columns, and inconsistent coding, consistent with problems frequently noted in ADR detection studies. </w:t>
      </w:r>
      <w:r w:rsidRPr="00F93DAD">
        <w:rPr>
          <w:rFonts w:asciiTheme="majorBidi" w:hAnsiTheme="majorBidi" w:cstheme="majorBidi"/>
        </w:rPr>
        <w:fldChar w:fldCharType="begin"/>
      </w:r>
      <w:r w:rsidR="00A022A5">
        <w:rPr>
          <w:rFonts w:asciiTheme="majorBidi" w:hAnsiTheme="majorBidi" w:cstheme="majorBidi"/>
        </w:rPr>
        <w:instrText xml:space="preserve"> ADDIN ZOTERO_ITEM CSL_CITATION {"citationID":"97pYk2hs","properties":{"formattedCitation":"(\\uc0\\u8220{}Full article: Changing paradigms in detecting rare adverse drug reactions: from disproportionality analysis, old and new, to machine learning,\\uc0\\u8221{} n.d.; Ghosh et al., 2024; Mongkhonmath et al., 2025; Sommer et al., 2024)","plainCitation":"(“Full article: Changing paradigms in detecting rare adverse drug reactions: from disproportionality analysis, old and new, to machine learning,” n.d.; Ghosh et al., 2024; Mongkhonmath et al., 2025; Sommer et al., 2024)","dontUpdate":true,"noteIndex":0},"citationItems":[{"id":553,"uris":["http://zotero.org/users/13727123/items/P9AKJHD8"],"itemData":{"id":553,"type":"webpage","title":"Full article: Changing paradigms in detecting rare adverse drug reactions: from disproportionality analysis, old and new, to machine learning","URL":"https://www.tandfonline.com/doi/full/10.1080/14740338.2022.2131770#abstract","accessed":{"date-parts":[["2025",12,11]]}}},{"id":549,"uris":["http://zotero.org/users/13727123/items/RDJKLLW2"],"itemData":{"id":549,"type":"article-journal","abstract":"Deep learning has recently unleashed the ability for Machine learning (ML) to make unparalleled strides. It did so by confronting and successfully addressing, at least to a certain extent, the knowledge bottleneck that paralyzed ML and artificial intelligence for decades. The community is currently basking in deep learning’s success, but a question that comes to mind is: have all of the issues previously affecting machine learning systems been solved by deep learning or do some issues remain for which deep learning is not a bulletproof solution? This question in the context of the class imbalance becomes a motivation for this paper. Imbalance problem was first recognized almost three decades ago and has remained a critical challenge at least for traditional learning approaches. Our goal is to investigate whether the tight dependency between class imbalances, concept complexities, dataset size and classifier performance, known to exist in traditional learning systems, is alleviated in any way in deep learning approaches and to what extent, if any, network depth and regularization can help. To answer these questions we conduct a survey of the recent literature focused on deep learning and the class imbalance problem as well as a series of controlled experiments on both artificial and real-world domains. This allows us to formulate lessons learned about the impact of class imbalance on deep learning models, as well as pose open challenges that should be tackled by researchers in this field.","container-title":"Machine Learning","DOI":"10.1007/s10994-022-06268-8","ISSN":"1573-0565","issue":"7","journalAbbreviation":"Mach Learn","language":"en","page":"4845-4901","source":"Springer Link","title":"The class imbalance problem in deep learning","volume":"113","author":[{"family":"Ghosh","given":"Kushankur"},{"family":"Bellinger","given":"Colin"},{"family":"Corizzo","given":"Roberto"},{"family":"Branco","given":"Paula"},{"family":"Krawczyk","given":"Bartosz"},{"family":"Japkowicz","given":"Nathalie"}],"issued":{"date-parts":[["2024",7,1]]}}},{"id":555,"uris":["http://zotero.org/users/13727123/items/GBBVDH8D"],"itemData":{"id":555,"type":"article-journal","abstract":"Background\nPharmacovigilance is essential for patient safety, but underreporting adverse drug reactions (ADRs) is a global challenge.\nObjectives\nThis review evaluated the effectiveness of strategies for enhancing ADR reporting by healthcare professionals (HCPs).\nMethods\nThis systematic review was conducted following the Cochrane and the PRISMA guidelines. Five international databases were searched from inception to December 2023 and updated search to September 2024. Randomized clinical controlled trials (RCTs) and non-RCTs on enhancing ADR reporting were included. The primary outcomes were the number of overall ADR and high-quality ADR reports. Study quality was assessed using the Effective Practice and Organization of Care risk of bias (ROB), and ROBIN-I for RCT, and non-RCT. All data were evaluated using a random-effects model, and heterogeneity was assessed using I2 statistic and chi-squared tests.\nResults\nFrom 1672 studies, 13 studies (10 RCTs, and 3 non-RCTs) with 28,116 participants were included. Two of 10 RCTs had low ROB while the remaining were judged as unclear and moderate ROB. Most studies were in high-income countries, and the main strategy was educating HCPs through workshops. Meta-analysis showed significant increases in overall ADR reporting through educating HCPs with a rate ratio (RR) of 5.09 (95% CI: 3.36-7.71, I2 = 84.5%, low certainty), and in high-quality reporting with 1.31 (95% CI: 1.09–1.58, I2 = 0.0%, moderate certainty). Subgroup analysis indicated that educating HCPs through face-to-face workshops combined with the Tawai app (RR:10.5, 95% CI: 8.74–12.61), a face-to-face workshop alone (RR:6.69, 95% CI: 5.43–8.25, I2 = 0.0%), and repeated telephone (RR:2.59, 95% CI: 1.75–3.84, I2 = 8.8%) significantly increased the overall number of ADR reports with moderate certainty. Email or letter communications showed no significant effect.\nConclusion\nEducating HCPs via interactive strategies like face-to-face workshops with or without a mobile app and repeated phone calls improved ADR reporting. However, long-term, high-quality studies are needed to confirm these findings before recommending widespread implementation in clinical practice, especially in low-and middle-income countries.","container-title":"Journal of the American Pharmacists Association","DOI":"10.1016/j.japh.2024.102293","ISSN":"1544-3191","issue":"1","journalAbbreviation":"Journal of the American Pharmacists Association","page":"102293","source":"ScienceDirect","title":"Systematic review and meta-analysis on effectiveness of strategies for enhancing adverse drug reaction reporting","volume":"65","author":[{"family":"Mongkhonmath","given":"Niphonh"},{"family":"Olson","given":"Phayom Sookaneknun"},{"family":"Puttarak","given":"Panupong"},{"family":"Chaiyakunapruk","given":"Nathorn"},{"family":"Sawangjit","given":"Ratree"}],"issued":{"date-parts":[["2025",1,1]]}}},{"id":551,"uris":["http://zotero.org/users/13727123/items/P2793RHQ"],"itemData":{"id":551,"type":"article-journal","abstract":"Polypharmacy in older adults increases the risk of adverse drug reactions (ADRs), but studying this relationship is complex. In real-world data, the high number of medications, coupled with rare drug combinations, results in high-dimensional datasets that are difficult to analyze using conventional statistical methods. This study applies horseshoe and lasso regression for analyzing rare events in polypharmacy contexts, focusing on severe ADRs such as falls and bleedings. These regression models are executed on a multi-center dataset compiling 7175 cases from the ADRED project to detect potential ADR-associated drugs among 100 most common drugs in emergency department admissions. Positive predictors are classified by using 50% and 90% credibility intervals. This study demonstrates that regression models with horseshoe or lasso priors are effective for analyzing ADRs, providing a comprehensive consideration of multiple factors in large, sparse datasets and improving signal detection in polypharmacy, addressing a significant challenge in pharmacovigilance. Both priors yielded consistent and clinically meaningful results. The horseshoe regression resulted in fewer potential positive predictors overall, which could make it suitable as a diagnostic tool. While these regressions generate valuable information, there are still challenges in setting appropriate thresholds for determining and interpreting the positive results.","container-title":"Scientific Reports","DOI":"10.1038/s41598-024-78474-4","ISSN":"2045-2322","issue":"1","journalAbbreviation":"Sci Rep","language":"en","license":"2024 The Author(s)","note":"publisher: Nature Publishing Group","page":"27355","source":"www.nature.com","title":"Dealing with adverse drug reactions in the context of polypharmacy using regression models","volume":"14","author":[{"family":"Sommer","given":"Jakob"},{"family":"Viviani","given":"Roberto"},{"family":"Wozniak","given":"Justyna"},{"family":"Stingl","given":"Julia C."},{"family":"Just","given":"Katja S."}],"issued":{"date-parts":[["2024",11,9]]}}}],"schema":"https://github.com/citation-style-language/schema/raw/master/csl-citation.json"} </w:instrText>
      </w:r>
      <w:r w:rsidRPr="00F93DAD">
        <w:rPr>
          <w:rFonts w:asciiTheme="majorBidi" w:hAnsiTheme="majorBidi" w:cstheme="majorBidi"/>
        </w:rPr>
        <w:fldChar w:fldCharType="separate"/>
      </w:r>
      <w:r w:rsidRPr="00F93DAD">
        <w:rPr>
          <w:rFonts w:asciiTheme="majorBidi" w:hAnsiTheme="majorBidi" w:cstheme="majorBidi"/>
          <w:kern w:val="0"/>
        </w:rPr>
        <w:t>(Ghosh et al., 2024; Mongkhonmath et al., 2025; Sommer et al., 2024)</w:t>
      </w:r>
      <w:r w:rsidRPr="00F93DAD">
        <w:rPr>
          <w:rFonts w:asciiTheme="majorBidi" w:hAnsiTheme="majorBidi" w:cstheme="majorBidi"/>
        </w:rPr>
        <w:fldChar w:fldCharType="end"/>
      </w:r>
      <w:r>
        <w:rPr>
          <w:rFonts w:asciiTheme="majorBidi" w:hAnsiTheme="majorBidi" w:cstheme="majorBidi"/>
        </w:rPr>
        <w:t>.</w:t>
      </w:r>
    </w:p>
    <w:p w14:paraId="710B96FC" w14:textId="4434542B" w:rsidR="006F7614" w:rsidRPr="001A256F" w:rsidRDefault="006F7614" w:rsidP="00647A27">
      <w:pPr>
        <w:pStyle w:val="ListParagraph"/>
        <w:numPr>
          <w:ilvl w:val="1"/>
          <w:numId w:val="5"/>
        </w:numPr>
        <w:spacing w:line="360" w:lineRule="auto"/>
        <w:rPr>
          <w:rFonts w:asciiTheme="majorBidi" w:hAnsiTheme="majorBidi" w:cstheme="majorBidi"/>
          <w:sz w:val="24"/>
          <w:szCs w:val="24"/>
          <w:u w:val="single"/>
        </w:rPr>
      </w:pPr>
      <w:r w:rsidRPr="001A256F">
        <w:rPr>
          <w:rFonts w:asciiTheme="majorBidi" w:hAnsiTheme="majorBidi" w:cstheme="majorBidi"/>
          <w:sz w:val="24"/>
          <w:szCs w:val="24"/>
          <w:u w:val="single"/>
        </w:rPr>
        <w:t>Feature selection</w:t>
      </w:r>
    </w:p>
    <w:p w14:paraId="64AC462B" w14:textId="77777777" w:rsidR="006F7614" w:rsidRPr="004A26E4" w:rsidRDefault="006F7614" w:rsidP="006F7614">
      <w:pPr>
        <w:spacing w:after="0" w:line="360" w:lineRule="auto"/>
        <w:rPr>
          <w:rFonts w:asciiTheme="majorBidi" w:eastAsia="Times New Roman" w:hAnsiTheme="majorBidi" w:cstheme="majorBidi"/>
          <w:kern w:val="0"/>
          <w:lang w:eastAsia="en-GB"/>
          <w14:ligatures w14:val="none"/>
        </w:rPr>
      </w:pPr>
      <w:r w:rsidRPr="004A26E4">
        <w:rPr>
          <w:rFonts w:asciiTheme="majorBidi" w:eastAsia="Times New Roman" w:hAnsiTheme="majorBidi" w:cstheme="majorBidi"/>
          <w:kern w:val="0"/>
          <w:lang w:eastAsia="en-GB"/>
          <w14:ligatures w14:val="none"/>
        </w:rPr>
        <w:t xml:space="preserve">The outcome variable was defined as the occurrence of an ADR during hospitalisation (0 = no ADR, 1 = ADR), coded as the “Case” variable in the provided data. Predictor variables were selected based on clinical relevance or prior evidence from the ADR prediction literature. This included demographic </w:t>
      </w:r>
      <w:r>
        <w:rPr>
          <w:rFonts w:asciiTheme="majorBidi" w:eastAsia="Times New Roman" w:hAnsiTheme="majorBidi" w:cstheme="majorBidi"/>
          <w:kern w:val="0"/>
          <w:lang w:eastAsia="en-GB"/>
          <w14:ligatures w14:val="none"/>
        </w:rPr>
        <w:t>factors (age, sex); clinical characteristics (comorbidities); laboratory values (renal disease, urea [mg/dl]); and pharmacological variables (number of medications, number of ATCc drugs).</w:t>
      </w:r>
    </w:p>
    <w:p w14:paraId="400CCCCB" w14:textId="77777777" w:rsidR="006F7614" w:rsidRPr="00F93DAD" w:rsidRDefault="006F7614" w:rsidP="006F7614">
      <w:pPr>
        <w:spacing w:after="0" w:line="360" w:lineRule="auto"/>
        <w:rPr>
          <w:rFonts w:asciiTheme="majorBidi" w:eastAsia="Times New Roman" w:hAnsiTheme="majorBidi" w:cstheme="majorBidi"/>
          <w:kern w:val="0"/>
          <w:lang w:eastAsia="en-GB"/>
          <w14:ligatures w14:val="none"/>
        </w:rPr>
      </w:pPr>
      <w:r w:rsidRPr="004A26E4">
        <w:rPr>
          <w:rFonts w:asciiTheme="majorBidi" w:eastAsia="Times New Roman" w:hAnsiTheme="majorBidi" w:cstheme="majorBidi"/>
          <w:kern w:val="0"/>
          <w:lang w:eastAsia="en-GB"/>
          <w14:ligatures w14:val="none"/>
        </w:rPr>
        <w:t>This feature selection strategy aligns with prior hospital-based ADR prediction studies, which demonstrate that combining clinical laboratory and pharmacological predictors improves risk stratification and model performance (Wu et al., 2025).</w:t>
      </w:r>
    </w:p>
    <w:p w14:paraId="4619542C" w14:textId="6E417430" w:rsidR="006F7614" w:rsidRPr="001A256F" w:rsidRDefault="006F7614" w:rsidP="00647A27">
      <w:pPr>
        <w:pStyle w:val="ListParagraph"/>
        <w:numPr>
          <w:ilvl w:val="1"/>
          <w:numId w:val="5"/>
        </w:numPr>
        <w:spacing w:line="360" w:lineRule="auto"/>
        <w:rPr>
          <w:rFonts w:asciiTheme="majorBidi" w:hAnsiTheme="majorBidi" w:cstheme="majorBidi"/>
          <w:sz w:val="24"/>
          <w:szCs w:val="24"/>
          <w:u w:val="single"/>
        </w:rPr>
      </w:pPr>
      <w:r w:rsidRPr="001A256F">
        <w:rPr>
          <w:rFonts w:asciiTheme="majorBidi" w:hAnsiTheme="majorBidi" w:cstheme="majorBidi"/>
          <w:sz w:val="24"/>
          <w:szCs w:val="24"/>
          <w:u w:val="single"/>
        </w:rPr>
        <w:t>Train-test split</w:t>
      </w:r>
    </w:p>
    <w:p w14:paraId="54BF0050" w14:textId="6E9C04DC" w:rsidR="006F7614" w:rsidRPr="003D04A5" w:rsidRDefault="006F7614" w:rsidP="006F7614">
      <w:pPr>
        <w:spacing w:line="360" w:lineRule="auto"/>
        <w:rPr>
          <w:rFonts w:asciiTheme="majorBidi" w:hAnsiTheme="majorBidi" w:cstheme="majorBidi"/>
        </w:rPr>
      </w:pPr>
      <w:r w:rsidRPr="003D04A5">
        <w:rPr>
          <w:rFonts w:asciiTheme="majorBidi" w:hAnsiTheme="majorBidi" w:cstheme="majorBidi"/>
        </w:rPr>
        <w:t xml:space="preserve">The dataset was randomly split into a training set (80% labelled trainX) and an independent test set (20% labelled TestY) using the code shown in Figure 2. Stratified sampling was used to </w:t>
      </w:r>
      <w:r w:rsidR="006034AD">
        <w:rPr>
          <w:rFonts w:asciiTheme="majorBidi" w:hAnsiTheme="majorBidi" w:cstheme="majorBidi"/>
        </w:rPr>
        <w:t>maintain</w:t>
      </w:r>
      <w:r w:rsidRPr="003D04A5">
        <w:rPr>
          <w:rFonts w:asciiTheme="majorBidi" w:hAnsiTheme="majorBidi" w:cstheme="majorBidi"/>
        </w:rPr>
        <w:t xml:space="preserve"> the proportions of ADR and non-ADR cases across both subsets, which is essential given the class imbalance in ADR data. The training set was used for model fitting and hyperparameter tuning, while the test set was reserved for final </w:t>
      </w:r>
      <w:r w:rsidR="006034AD">
        <w:rPr>
          <w:rFonts w:asciiTheme="majorBidi" w:hAnsiTheme="majorBidi" w:cstheme="majorBidi"/>
        </w:rPr>
        <w:t>evaluation performance.</w:t>
      </w:r>
    </w:p>
    <w:p w14:paraId="3E7BDF38" w14:textId="4E6FD72C" w:rsidR="006F7614" w:rsidRDefault="006F7614" w:rsidP="006F7614">
      <w:pPr>
        <w:spacing w:line="360" w:lineRule="auto"/>
        <w:rPr>
          <w:rFonts w:asciiTheme="majorBidi" w:hAnsiTheme="majorBidi" w:cstheme="majorBidi"/>
          <w:kern w:val="0"/>
          <w14:ligatures w14:val="none"/>
        </w:rPr>
      </w:pPr>
      <w:r w:rsidRPr="003D04A5">
        <w:rPr>
          <w:rFonts w:asciiTheme="majorBidi" w:hAnsiTheme="majorBidi" w:cstheme="majorBidi"/>
        </w:rPr>
        <w:t xml:space="preserve">To </w:t>
      </w:r>
      <w:r w:rsidR="006034AD" w:rsidRPr="003D04A5">
        <w:rPr>
          <w:rFonts w:asciiTheme="majorBidi" w:hAnsiTheme="majorBidi" w:cstheme="majorBidi"/>
        </w:rPr>
        <w:t>tackle</w:t>
      </w:r>
      <w:r w:rsidRPr="003D04A5">
        <w:rPr>
          <w:rFonts w:asciiTheme="majorBidi" w:hAnsiTheme="majorBidi" w:cstheme="majorBidi"/>
        </w:rPr>
        <w:t xml:space="preserve"> class imbalance during model training, class weighting was applied to penalise misclassifying ADR cases more heavily, thereby improving sensitivity to rare adverse events.</w:t>
      </w:r>
    </w:p>
    <w:p w14:paraId="312F3F3C" w14:textId="77777777" w:rsidR="006F7614" w:rsidRDefault="006F7614" w:rsidP="006F7614">
      <w:pPr>
        <w:keepNext/>
        <w:spacing w:line="360" w:lineRule="auto"/>
      </w:pPr>
      <w:r w:rsidRPr="00A46DEB">
        <w:rPr>
          <w:noProof/>
        </w:rPr>
        <w:lastRenderedPageBreak/>
        <w:drawing>
          <wp:inline distT="0" distB="0" distL="0" distR="0" wp14:anchorId="5E53A907" wp14:editId="4A88489C">
            <wp:extent cx="5731510" cy="838200"/>
            <wp:effectExtent l="0" t="0" r="0" b="0"/>
            <wp:docPr id="859862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62887" name="Picture 1" descr="A screenshot of a computer&#10;&#10;AI-generated content may be incorrect."/>
                    <pic:cNvPicPr/>
                  </pic:nvPicPr>
                  <pic:blipFill>
                    <a:blip r:embed="rId7"/>
                    <a:stretch>
                      <a:fillRect/>
                    </a:stretch>
                  </pic:blipFill>
                  <pic:spPr>
                    <a:xfrm>
                      <a:off x="0" y="0"/>
                      <a:ext cx="5731510" cy="838200"/>
                    </a:xfrm>
                    <a:prstGeom prst="rect">
                      <a:avLst/>
                    </a:prstGeom>
                  </pic:spPr>
                </pic:pic>
              </a:graphicData>
            </a:graphic>
          </wp:inline>
        </w:drawing>
      </w:r>
    </w:p>
    <w:p w14:paraId="7C99BD1B" w14:textId="18A548BA" w:rsidR="006F7614" w:rsidRDefault="006F7614" w:rsidP="006F7614">
      <w:pPr>
        <w:pStyle w:val="Caption"/>
        <w:jc w:val="center"/>
      </w:pPr>
      <w:bookmarkStart w:id="4" w:name="_Ref218979776"/>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sidR="001E374B">
        <w:rPr>
          <w:rFonts w:asciiTheme="majorBidi" w:hAnsiTheme="majorBidi" w:cstheme="majorBidi"/>
          <w:noProof/>
        </w:rPr>
        <w:t>2</w:t>
      </w:r>
      <w:r>
        <w:rPr>
          <w:rFonts w:asciiTheme="majorBidi" w:hAnsiTheme="majorBidi" w:cstheme="majorBidi"/>
        </w:rPr>
        <w:fldChar w:fldCharType="end"/>
      </w:r>
      <w:bookmarkEnd w:id="4"/>
      <w:r>
        <w:t>: This figure shows the train-test split and the stratification explained above.</w:t>
      </w:r>
    </w:p>
    <w:p w14:paraId="30F8AC9F" w14:textId="77777777" w:rsidR="006F7614" w:rsidRPr="004C0B1A" w:rsidRDefault="006F7614" w:rsidP="006F7614"/>
    <w:p w14:paraId="4F031452" w14:textId="657D7879" w:rsidR="006F7614" w:rsidRPr="001A256F" w:rsidRDefault="006F7614" w:rsidP="00647A27">
      <w:pPr>
        <w:pStyle w:val="ListParagraph"/>
        <w:numPr>
          <w:ilvl w:val="1"/>
          <w:numId w:val="5"/>
        </w:numPr>
        <w:spacing w:line="360" w:lineRule="auto"/>
        <w:rPr>
          <w:rFonts w:asciiTheme="majorBidi" w:hAnsiTheme="majorBidi" w:cstheme="majorBidi"/>
          <w:sz w:val="24"/>
          <w:szCs w:val="24"/>
          <w:u w:val="single"/>
        </w:rPr>
      </w:pPr>
      <w:r w:rsidRPr="00647A27">
        <w:rPr>
          <w:rFonts w:asciiTheme="majorBidi" w:hAnsiTheme="majorBidi" w:cstheme="majorBidi"/>
          <w:b/>
          <w:bCs/>
          <w:sz w:val="24"/>
          <w:szCs w:val="24"/>
          <w:u w:val="single"/>
        </w:rPr>
        <w:t xml:space="preserve"> </w:t>
      </w:r>
      <w:r w:rsidRPr="001A256F">
        <w:rPr>
          <w:rFonts w:asciiTheme="majorBidi" w:hAnsiTheme="majorBidi" w:cstheme="majorBidi"/>
          <w:sz w:val="24"/>
          <w:szCs w:val="24"/>
          <w:u w:val="single"/>
        </w:rPr>
        <w:t>Model S</w:t>
      </w:r>
      <w:r w:rsidR="001A256F" w:rsidRPr="001A256F">
        <w:rPr>
          <w:rFonts w:asciiTheme="majorBidi" w:hAnsiTheme="majorBidi" w:cstheme="majorBidi"/>
          <w:sz w:val="24"/>
          <w:szCs w:val="24"/>
          <w:u w:val="single"/>
        </w:rPr>
        <w:t>tructure</w:t>
      </w:r>
      <w:r w:rsidRPr="001A256F">
        <w:rPr>
          <w:rFonts w:asciiTheme="majorBidi" w:hAnsiTheme="majorBidi" w:cstheme="majorBidi"/>
          <w:sz w:val="24"/>
          <w:szCs w:val="24"/>
          <w:u w:val="single"/>
        </w:rPr>
        <w:t xml:space="preserve"> </w:t>
      </w:r>
    </w:p>
    <w:p w14:paraId="442F6F59" w14:textId="77777777" w:rsidR="006F7614" w:rsidRPr="003154D8" w:rsidRDefault="006F7614" w:rsidP="006F7614">
      <w:pPr>
        <w:spacing w:line="360" w:lineRule="auto"/>
        <w:rPr>
          <w:rFonts w:asciiTheme="majorBidi" w:hAnsiTheme="majorBidi" w:cstheme="majorBidi"/>
        </w:rPr>
      </w:pPr>
      <w:r w:rsidRPr="003154D8">
        <w:rPr>
          <w:rFonts w:asciiTheme="majorBidi" w:hAnsiTheme="majorBidi" w:cstheme="majorBidi"/>
        </w:rPr>
        <w:t>Two supervised machine learning models were used: logistic regression (LR), shown in Figure 3. Logistic regression was selected as a transparent and well-established baseline model widely used in clinical prediction tasks (Dsouza et al., 2025b, ￼. Its interpretability and robustness make it suitable for structuring clinical laboratory data and allow direct inspection of predictor-outcome relationships.</w:t>
      </w:r>
    </w:p>
    <w:p w14:paraId="6ACF6FD6" w14:textId="77777777" w:rsidR="006F7614" w:rsidRPr="003154D8" w:rsidRDefault="006F7614" w:rsidP="006F7614">
      <w:pPr>
        <w:spacing w:line="360" w:lineRule="auto"/>
        <w:rPr>
          <w:rFonts w:asciiTheme="majorBidi" w:hAnsiTheme="majorBidi" w:cstheme="majorBidi"/>
          <w:kern w:val="0"/>
          <w14:ligatures w14:val="none"/>
        </w:rPr>
      </w:pPr>
      <w:r w:rsidRPr="003154D8">
        <w:rPr>
          <w:rFonts w:asciiTheme="majorBidi" w:hAnsiTheme="majorBidi" w:cstheme="majorBidi"/>
        </w:rPr>
        <w:t xml:space="preserve">Support Vector Classification was selected to enable comparison with a margin-based classifier capable of modelling more complex boundaries. A linear Kernel was used to preserve interpretability and computational efficiency while maintaining strong performance in high-dimensional clinical datasets. For both models, class weighting was applied to </w:t>
      </w:r>
      <w:r>
        <w:rPr>
          <w:rFonts w:asciiTheme="majorBidi" w:hAnsiTheme="majorBidi" w:cstheme="majorBidi"/>
        </w:rPr>
        <w:t>mitigate</w:t>
      </w:r>
      <w:r w:rsidRPr="003154D8">
        <w:rPr>
          <w:rFonts w:asciiTheme="majorBidi" w:hAnsiTheme="majorBidi" w:cstheme="majorBidi"/>
        </w:rPr>
        <w:t xml:space="preserve"> outcome imbalance, and probability estimates were enabled to support threshold-independent evaluation </w:t>
      </w:r>
      <w:r>
        <w:rPr>
          <w:rFonts w:asciiTheme="majorBidi" w:hAnsiTheme="majorBidi" w:cstheme="majorBidi"/>
        </w:rPr>
        <w:t>via</w:t>
      </w:r>
      <w:r w:rsidRPr="003154D8">
        <w:rPr>
          <w:rFonts w:asciiTheme="majorBidi" w:hAnsiTheme="majorBidi" w:cstheme="majorBidi"/>
        </w:rPr>
        <w:t xml:space="preserve"> receiver operating characteristic (ROC) analysis.</w:t>
      </w:r>
    </w:p>
    <w:p w14:paraId="33026206" w14:textId="77777777" w:rsidR="006F7614" w:rsidRPr="00F93DAD" w:rsidRDefault="006F7614" w:rsidP="006F7614">
      <w:pPr>
        <w:spacing w:line="360" w:lineRule="auto"/>
        <w:rPr>
          <w:rFonts w:asciiTheme="majorBidi" w:hAnsiTheme="majorBidi" w:cstheme="majorBidi"/>
        </w:rPr>
      </w:pPr>
      <w:r w:rsidRPr="00F93DAD">
        <w:rPr>
          <w:rFonts w:asciiTheme="majorBidi" w:hAnsiTheme="majorBidi" w:cstheme="majorBidi"/>
        </w:rPr>
        <w:t>The model was tuned with:</w:t>
      </w:r>
    </w:p>
    <w:p w14:paraId="7D774EA0" w14:textId="77777777" w:rsidR="006F7614" w:rsidRPr="00F93DAD" w:rsidRDefault="006F7614" w:rsidP="006F7614">
      <w:pPr>
        <w:pStyle w:val="ListParagraph"/>
        <w:numPr>
          <w:ilvl w:val="0"/>
          <w:numId w:val="2"/>
        </w:numPr>
        <w:spacing w:line="360" w:lineRule="auto"/>
        <w:rPr>
          <w:rFonts w:asciiTheme="majorBidi" w:hAnsiTheme="majorBidi" w:cstheme="majorBidi"/>
        </w:rPr>
      </w:pPr>
      <w:r w:rsidRPr="00F93DAD">
        <w:rPr>
          <w:rFonts w:asciiTheme="majorBidi" w:hAnsiTheme="majorBidi" w:cstheme="majorBidi"/>
        </w:rPr>
        <w:t xml:space="preserve">class_weight = 'balanced' </w:t>
      </w:r>
    </w:p>
    <w:p w14:paraId="65105725" w14:textId="77777777" w:rsidR="006F7614" w:rsidRDefault="006F7614" w:rsidP="006F7614">
      <w:pPr>
        <w:pStyle w:val="ListParagraph"/>
        <w:numPr>
          <w:ilvl w:val="0"/>
          <w:numId w:val="2"/>
        </w:numPr>
        <w:spacing w:line="360" w:lineRule="auto"/>
        <w:rPr>
          <w:rFonts w:asciiTheme="majorBidi" w:hAnsiTheme="majorBidi" w:cstheme="majorBidi"/>
        </w:rPr>
      </w:pPr>
      <w:r>
        <w:rPr>
          <w:rFonts w:asciiTheme="majorBidi" w:hAnsiTheme="majorBidi" w:cstheme="majorBidi"/>
        </w:rPr>
        <w:t>Kernel = “linear”</w:t>
      </w:r>
    </w:p>
    <w:p w14:paraId="6B02C5AA" w14:textId="6275FB0A" w:rsidR="001A256F" w:rsidRDefault="006F7614" w:rsidP="001A256F">
      <w:pPr>
        <w:pStyle w:val="ListParagraph"/>
        <w:numPr>
          <w:ilvl w:val="0"/>
          <w:numId w:val="2"/>
        </w:numPr>
        <w:spacing w:line="360" w:lineRule="auto"/>
        <w:rPr>
          <w:rFonts w:asciiTheme="majorBidi" w:hAnsiTheme="majorBidi" w:cstheme="majorBidi"/>
        </w:rPr>
      </w:pPr>
      <w:r w:rsidRPr="003154D8">
        <w:rPr>
          <w:rFonts w:asciiTheme="majorBidi" w:hAnsiTheme="majorBidi" w:cstheme="majorBidi"/>
        </w:rPr>
        <w:t xml:space="preserve">Probability = “True” </w:t>
      </w:r>
    </w:p>
    <w:p w14:paraId="3E991A56" w14:textId="77777777" w:rsidR="001A256F" w:rsidRPr="001A256F" w:rsidRDefault="001A256F" w:rsidP="001A256F">
      <w:pPr>
        <w:spacing w:line="360" w:lineRule="auto"/>
        <w:rPr>
          <w:rFonts w:asciiTheme="majorBidi" w:hAnsiTheme="majorBidi" w:cstheme="majorBidi"/>
        </w:rPr>
      </w:pPr>
    </w:p>
    <w:p w14:paraId="00A546E2" w14:textId="66CA389F" w:rsidR="006F7614" w:rsidRPr="001A256F" w:rsidRDefault="006F7614" w:rsidP="00647A27">
      <w:pPr>
        <w:pStyle w:val="ListParagraph"/>
        <w:numPr>
          <w:ilvl w:val="1"/>
          <w:numId w:val="5"/>
        </w:numPr>
        <w:spacing w:line="360" w:lineRule="auto"/>
        <w:rPr>
          <w:rFonts w:asciiTheme="majorBidi" w:hAnsiTheme="majorBidi" w:cstheme="majorBidi"/>
          <w:u w:val="single"/>
        </w:rPr>
      </w:pPr>
      <w:r w:rsidRPr="001A256F">
        <w:rPr>
          <w:rFonts w:asciiTheme="majorBidi" w:hAnsiTheme="majorBidi" w:cstheme="majorBidi"/>
          <w:u w:val="single"/>
        </w:rPr>
        <w:t>Model Evaluation Strategy</w:t>
      </w:r>
    </w:p>
    <w:p w14:paraId="76463E66" w14:textId="154DA504" w:rsidR="00EE6037" w:rsidRDefault="004E1E3D"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 xml:space="preserve">Model predictions </w:t>
      </w:r>
      <w:r w:rsidR="00080346">
        <w:rPr>
          <w:rFonts w:asciiTheme="majorBidi" w:hAnsiTheme="majorBidi" w:cstheme="majorBidi"/>
          <w:kern w:val="0"/>
          <w14:ligatures w14:val="none"/>
        </w:rPr>
        <w:t xml:space="preserve">(on LR and SVC) </w:t>
      </w:r>
      <w:r>
        <w:rPr>
          <w:rFonts w:asciiTheme="majorBidi" w:hAnsiTheme="majorBidi" w:cstheme="majorBidi"/>
          <w:kern w:val="0"/>
          <w14:ligatures w14:val="none"/>
        </w:rPr>
        <w:t xml:space="preserve">were generated on an independent test dataset using trained classifier. These predicted class </w:t>
      </w:r>
      <w:r w:rsidR="00884449">
        <w:rPr>
          <w:rFonts w:asciiTheme="majorBidi" w:hAnsiTheme="majorBidi" w:cstheme="majorBidi"/>
          <w:kern w:val="0"/>
          <w14:ligatures w14:val="none"/>
        </w:rPr>
        <w:t>variables</w:t>
      </w:r>
      <w:r>
        <w:rPr>
          <w:rFonts w:asciiTheme="majorBidi" w:hAnsiTheme="majorBidi" w:cstheme="majorBidi"/>
          <w:kern w:val="0"/>
          <w14:ligatures w14:val="none"/>
        </w:rPr>
        <w:t xml:space="preserve"> were compared against the true </w:t>
      </w:r>
      <w:r w:rsidR="00884449">
        <w:rPr>
          <w:rFonts w:asciiTheme="majorBidi" w:hAnsiTheme="majorBidi" w:cstheme="majorBidi"/>
          <w:kern w:val="0"/>
          <w14:ligatures w14:val="none"/>
        </w:rPr>
        <w:t xml:space="preserve">output variables to evaluate model performance. Classification evaluateion metrics, including precision, recall, F-1score, and class support were computed using the </w:t>
      </w:r>
      <w:r w:rsidR="00884449" w:rsidRPr="00884449">
        <w:rPr>
          <w:rFonts w:asciiTheme="majorBidi" w:hAnsiTheme="majorBidi" w:cstheme="majorBidi"/>
          <w:b/>
          <w:bCs/>
          <w:kern w:val="0"/>
          <w14:ligatures w14:val="none"/>
        </w:rPr>
        <w:t>classification_report</w:t>
      </w:r>
      <w:r w:rsidR="00884449">
        <w:rPr>
          <w:rFonts w:asciiTheme="majorBidi" w:hAnsiTheme="majorBidi" w:cstheme="majorBidi"/>
          <w:b/>
          <w:bCs/>
          <w:kern w:val="0"/>
          <w14:ligatures w14:val="none"/>
        </w:rPr>
        <w:t xml:space="preserve"> </w:t>
      </w:r>
      <w:r w:rsidR="00884449">
        <w:rPr>
          <w:rFonts w:asciiTheme="majorBidi" w:hAnsiTheme="majorBidi" w:cstheme="majorBidi"/>
          <w:kern w:val="0"/>
          <w14:ligatures w14:val="none"/>
        </w:rPr>
        <w:t xml:space="preserve">function from the scikit-learn library. Furthermore, confusion matrices were produced using the </w:t>
      </w:r>
      <w:r w:rsidR="00884449">
        <w:rPr>
          <w:rFonts w:asciiTheme="majorBidi" w:hAnsiTheme="majorBidi" w:cstheme="majorBidi"/>
          <w:b/>
          <w:bCs/>
          <w:kern w:val="0"/>
          <w14:ligatures w14:val="none"/>
        </w:rPr>
        <w:t xml:space="preserve">confusion_matrix </w:t>
      </w:r>
      <w:r w:rsidR="00884449">
        <w:rPr>
          <w:rFonts w:asciiTheme="majorBidi" w:hAnsiTheme="majorBidi" w:cstheme="majorBidi"/>
          <w:kern w:val="0"/>
          <w14:ligatures w14:val="none"/>
        </w:rPr>
        <w:t xml:space="preserve">function to display the distribution of TP, TN, FP and FN across classes. All evaluation metrics were calculated exclusively on the independent test set to ensure an unbiased assessment of model performance. The evaluation focussed </w:t>
      </w:r>
      <w:r w:rsidR="00884449">
        <w:rPr>
          <w:rFonts w:asciiTheme="majorBidi" w:hAnsiTheme="majorBidi" w:cstheme="majorBidi"/>
          <w:kern w:val="0"/>
          <w14:ligatures w14:val="none"/>
        </w:rPr>
        <w:lastRenderedPageBreak/>
        <w:t>on performance for the ADR class(Class 1) to reflect the clinical importance of identifying patients at risk of ADRs.</w:t>
      </w:r>
    </w:p>
    <w:p w14:paraId="5F9CEFB1" w14:textId="636DD941" w:rsidR="006F7614" w:rsidRDefault="006F7614"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Model performance was evaluated using a range of entry-dependent and entry-independent metrics to highlight the clinical priorities of ADR detection. Entry-independent metrics included precision, recall, F1-score, accuracy, and confusion matrices, with a specific focus on recall for ADR cases (Case 1) due to the critical cost of missed adverse events. Entry-independent performance was analysed using ROC-AUC, providing a reciprocal measure of overall discrimination via decision thresholds.</w:t>
      </w:r>
    </w:p>
    <w:p w14:paraId="3C12CC4E" w14:textId="77777777" w:rsidR="00281C98" w:rsidRDefault="00281C98" w:rsidP="006F7614">
      <w:pPr>
        <w:spacing w:line="360" w:lineRule="auto"/>
        <w:rPr>
          <w:rFonts w:asciiTheme="majorBidi" w:hAnsiTheme="majorBidi" w:cstheme="majorBidi"/>
        </w:rPr>
      </w:pPr>
    </w:p>
    <w:p w14:paraId="22A43DDC" w14:textId="162094D0" w:rsidR="006F7614" w:rsidRPr="001A256F" w:rsidRDefault="006F7614" w:rsidP="00647A27">
      <w:pPr>
        <w:pStyle w:val="ListParagraph"/>
        <w:numPr>
          <w:ilvl w:val="1"/>
          <w:numId w:val="5"/>
        </w:numPr>
        <w:spacing w:line="360" w:lineRule="auto"/>
        <w:rPr>
          <w:rFonts w:asciiTheme="majorBidi" w:hAnsiTheme="majorBidi" w:cstheme="majorBidi"/>
          <w:u w:val="single"/>
        </w:rPr>
      </w:pPr>
      <w:r w:rsidRPr="001A256F">
        <w:rPr>
          <w:rFonts w:asciiTheme="majorBidi" w:hAnsiTheme="majorBidi" w:cstheme="majorBidi"/>
          <w:u w:val="single"/>
        </w:rPr>
        <w:t>Model Explainability</w:t>
      </w:r>
    </w:p>
    <w:p w14:paraId="11E5D6B9" w14:textId="447A0B0F" w:rsidR="006F7614" w:rsidRDefault="006F7614" w:rsidP="006F7614">
      <w:pPr>
        <w:spacing w:line="360" w:lineRule="auto"/>
        <w:rPr>
          <w:rFonts w:asciiTheme="majorBidi" w:hAnsiTheme="majorBidi" w:cstheme="majorBidi"/>
        </w:rPr>
      </w:pPr>
      <w:r>
        <w:rPr>
          <w:rFonts w:asciiTheme="majorBidi" w:hAnsiTheme="majorBidi" w:cstheme="majorBidi"/>
        </w:rPr>
        <w:t>To improve transparency and clinical interpretability, post hoc feature attribution was performed using SHAP. SHAP provides a game-theoretic framework for quantifying the contribution of individual predictors to model predictions at both global and local levels. Global feature importance was assessed using SHAP summary plots, which rank predictors by their average contribution to ADR risk and indicate the direction and magnitude of their effects.</w:t>
      </w:r>
    </w:p>
    <w:p w14:paraId="52A5D469" w14:textId="558D987E" w:rsidR="006F7614" w:rsidRDefault="006F7614" w:rsidP="006F7614">
      <w:pPr>
        <w:spacing w:line="360" w:lineRule="auto"/>
        <w:rPr>
          <w:rFonts w:asciiTheme="majorBidi" w:hAnsiTheme="majorBidi" w:cstheme="majorBidi"/>
        </w:rPr>
      </w:pPr>
      <w:r>
        <w:rPr>
          <w:rFonts w:asciiTheme="majorBidi" w:hAnsiTheme="majorBidi" w:cstheme="majorBidi"/>
        </w:rPr>
        <w:t>Explainability analysis was used to contextualise model outputs in relation to established pharmacological and clinical risk factors. It is acknowledged that SHAP-derived explanations are associative rather than causal; however, they provide insight into model behaviour and support clinically informed interpretation of the predictors.</w:t>
      </w:r>
    </w:p>
    <w:p w14:paraId="3ED29989" w14:textId="77777777" w:rsidR="006F7614" w:rsidRPr="00F93DAD" w:rsidRDefault="006F7614" w:rsidP="006F7614">
      <w:pPr>
        <w:spacing w:line="360" w:lineRule="auto"/>
        <w:rPr>
          <w:rFonts w:asciiTheme="majorBidi" w:hAnsiTheme="majorBidi" w:cstheme="majorBidi"/>
        </w:rPr>
      </w:pPr>
    </w:p>
    <w:p w14:paraId="3058EAFF" w14:textId="6FCFB50F" w:rsidR="006F7614" w:rsidRPr="00AD5722" w:rsidRDefault="006F7614" w:rsidP="006F7614">
      <w:pPr>
        <w:pStyle w:val="ListParagraph"/>
        <w:numPr>
          <w:ilvl w:val="0"/>
          <w:numId w:val="3"/>
        </w:numPr>
        <w:spacing w:line="360" w:lineRule="auto"/>
        <w:rPr>
          <w:rFonts w:asciiTheme="majorBidi" w:hAnsiTheme="majorBidi" w:cstheme="majorBidi"/>
          <w:b/>
          <w:bCs/>
          <w:sz w:val="28"/>
          <w:szCs w:val="28"/>
        </w:rPr>
      </w:pPr>
      <w:r w:rsidRPr="00AD5722">
        <w:rPr>
          <w:rFonts w:asciiTheme="majorBidi" w:hAnsiTheme="majorBidi" w:cstheme="majorBidi"/>
          <w:b/>
          <w:bCs/>
          <w:sz w:val="28"/>
          <w:szCs w:val="28"/>
        </w:rPr>
        <w:t>Implementation</w:t>
      </w:r>
    </w:p>
    <w:p w14:paraId="5E3C0463" w14:textId="68D8C4F7" w:rsidR="006F7614" w:rsidRPr="001A256F" w:rsidRDefault="006F7614" w:rsidP="00647A27">
      <w:pPr>
        <w:pStyle w:val="ListParagraph"/>
        <w:numPr>
          <w:ilvl w:val="1"/>
          <w:numId w:val="3"/>
        </w:numPr>
        <w:spacing w:line="360" w:lineRule="auto"/>
        <w:rPr>
          <w:rFonts w:asciiTheme="majorBidi" w:hAnsiTheme="majorBidi" w:cstheme="majorBidi"/>
          <w:u w:val="single"/>
        </w:rPr>
      </w:pPr>
      <w:r w:rsidRPr="001A256F">
        <w:rPr>
          <w:rFonts w:asciiTheme="majorBidi" w:hAnsiTheme="majorBidi" w:cstheme="majorBidi"/>
          <w:sz w:val="24"/>
          <w:szCs w:val="24"/>
          <w:u w:val="single"/>
        </w:rPr>
        <w:t xml:space="preserve">Implementation Overview </w:t>
      </w:r>
    </w:p>
    <w:p w14:paraId="3F813C4E" w14:textId="3B8FD627" w:rsidR="006F7614" w:rsidRPr="00AC1E18" w:rsidRDefault="006F7614" w:rsidP="006F7614">
      <w:pPr>
        <w:spacing w:line="360" w:lineRule="auto"/>
        <w:rPr>
          <w:rFonts w:asciiTheme="majorBidi" w:hAnsiTheme="majorBidi" w:cstheme="majorBidi"/>
        </w:rPr>
      </w:pPr>
      <w:r w:rsidRPr="00AC1E18">
        <w:rPr>
          <w:rFonts w:asciiTheme="majorBidi" w:hAnsiTheme="majorBidi" w:cstheme="majorBidi"/>
        </w:rPr>
        <w:t xml:space="preserve">Model development and evaluation followed a structured, reproducible machine learning approach informed by best practices in pharmacovigilance research (Wolff et al., 2023; Farnoush et al., 2024). The implementation included dataset preparation, model training, prediction on unseen data, performance evaluation using clinically relevant metrics, and post hoc explainability analysis. All analyses were conducted using Python-based data science libraries, </w:t>
      </w:r>
      <w:r>
        <w:rPr>
          <w:rFonts w:asciiTheme="majorBidi" w:hAnsiTheme="majorBidi" w:cstheme="majorBidi"/>
        </w:rPr>
        <w:t>including</w:t>
      </w:r>
      <w:r w:rsidRPr="00AC1E18">
        <w:rPr>
          <w:rFonts w:asciiTheme="majorBidi" w:hAnsiTheme="majorBidi" w:cstheme="majorBidi"/>
        </w:rPr>
        <w:t xml:space="preserve"> Jupyter Notebook, pandas, NumPy, and scikit-learn, to ensure reproducibility consistent with ADR prediction studies (Jiao et al., 2024).</w:t>
      </w:r>
    </w:p>
    <w:p w14:paraId="5BF35D38" w14:textId="7A0E9058" w:rsidR="006F7614" w:rsidRPr="001A256F" w:rsidRDefault="006F7614" w:rsidP="00647A27">
      <w:pPr>
        <w:pStyle w:val="ListParagraph"/>
        <w:numPr>
          <w:ilvl w:val="1"/>
          <w:numId w:val="3"/>
        </w:numPr>
        <w:spacing w:line="360" w:lineRule="auto"/>
        <w:rPr>
          <w:rFonts w:asciiTheme="majorBidi" w:hAnsiTheme="majorBidi" w:cstheme="majorBidi"/>
          <w:u w:val="single"/>
        </w:rPr>
      </w:pPr>
      <w:r w:rsidRPr="001A256F">
        <w:rPr>
          <w:rFonts w:asciiTheme="majorBidi" w:hAnsiTheme="majorBidi" w:cstheme="majorBidi"/>
          <w:u w:val="single"/>
        </w:rPr>
        <w:t xml:space="preserve">Model Training </w:t>
      </w:r>
    </w:p>
    <w:p w14:paraId="224C01DD" w14:textId="469B8D9A" w:rsidR="006F7614" w:rsidRPr="00AC1E18" w:rsidRDefault="006F7614" w:rsidP="006F7614">
      <w:pPr>
        <w:spacing w:line="360" w:lineRule="auto"/>
        <w:rPr>
          <w:rFonts w:asciiTheme="majorBidi" w:hAnsiTheme="majorBidi" w:cstheme="majorBidi"/>
        </w:rPr>
      </w:pPr>
      <w:r w:rsidRPr="00AC1E18">
        <w:rPr>
          <w:rFonts w:asciiTheme="majorBidi" w:hAnsiTheme="majorBidi" w:cstheme="majorBidi"/>
        </w:rPr>
        <w:lastRenderedPageBreak/>
        <w:t>Both LR and SVC models were trained on the pre-processed training dataset, with class-balanced outcome imbalance. Model hyperparameters were configured to optimise stability, interpretability, and sensitivity to rare ADR cases. Training was performed exclusively on the training subset to prevent information leakage and ensure unbiased evaluation.</w:t>
      </w:r>
    </w:p>
    <w:p w14:paraId="58F050ED" w14:textId="5CF1280B" w:rsidR="006F7614" w:rsidRPr="001A256F" w:rsidRDefault="006F7614" w:rsidP="00647A27">
      <w:pPr>
        <w:pStyle w:val="ListParagraph"/>
        <w:numPr>
          <w:ilvl w:val="1"/>
          <w:numId w:val="3"/>
        </w:numPr>
        <w:spacing w:line="360" w:lineRule="auto"/>
        <w:rPr>
          <w:rFonts w:asciiTheme="majorBidi" w:hAnsiTheme="majorBidi" w:cstheme="majorBidi"/>
          <w:u w:val="single"/>
        </w:rPr>
      </w:pPr>
      <w:r w:rsidRPr="001A256F">
        <w:rPr>
          <w:rFonts w:asciiTheme="majorBidi" w:hAnsiTheme="majorBidi" w:cstheme="majorBidi"/>
          <w:u w:val="single"/>
        </w:rPr>
        <w:t xml:space="preserve">Prediction on Unseen Data </w:t>
      </w:r>
    </w:p>
    <w:p w14:paraId="165D858B" w14:textId="237612BA" w:rsidR="006F7614" w:rsidRDefault="006F7614" w:rsidP="006F7614">
      <w:pPr>
        <w:spacing w:line="360" w:lineRule="auto"/>
        <w:rPr>
          <w:rFonts w:asciiTheme="majorBidi" w:hAnsiTheme="majorBidi" w:cstheme="majorBidi"/>
        </w:rPr>
      </w:pPr>
      <w:r w:rsidRPr="00AC1E18">
        <w:rPr>
          <w:rFonts w:asciiTheme="majorBidi" w:hAnsiTheme="majorBidi" w:cstheme="majorBidi"/>
        </w:rPr>
        <w:t>Following training, each model generated a prediction on the independent test dataset. These predictions formed the basis for subsequent performance evaluation, including classification metrics, confusion matrix analysis, and receiver operating characteristic (ROC) evaluation.</w:t>
      </w:r>
    </w:p>
    <w:p w14:paraId="7AADE8A9" w14:textId="77777777" w:rsidR="00C8026D" w:rsidRDefault="00C8026D" w:rsidP="006F7614">
      <w:pPr>
        <w:spacing w:line="360" w:lineRule="auto"/>
        <w:rPr>
          <w:rFonts w:asciiTheme="majorBidi" w:hAnsiTheme="majorBidi" w:cstheme="majorBidi"/>
        </w:rPr>
      </w:pPr>
    </w:p>
    <w:p w14:paraId="460E59DF" w14:textId="55D176AF" w:rsidR="006F7614" w:rsidRPr="00647A27" w:rsidRDefault="006F7614" w:rsidP="00647A27">
      <w:pPr>
        <w:pStyle w:val="ListParagraph"/>
        <w:numPr>
          <w:ilvl w:val="0"/>
          <w:numId w:val="3"/>
        </w:numPr>
        <w:spacing w:line="360" w:lineRule="auto"/>
        <w:rPr>
          <w:rFonts w:asciiTheme="majorBidi" w:hAnsiTheme="majorBidi" w:cstheme="majorBidi"/>
          <w:b/>
          <w:bCs/>
          <w:sz w:val="24"/>
          <w:szCs w:val="24"/>
        </w:rPr>
      </w:pPr>
      <w:r w:rsidRPr="00647A27">
        <w:rPr>
          <w:rFonts w:asciiTheme="majorBidi" w:hAnsiTheme="majorBidi" w:cstheme="majorBidi"/>
          <w:b/>
          <w:bCs/>
          <w:sz w:val="24"/>
          <w:szCs w:val="24"/>
        </w:rPr>
        <w:t xml:space="preserve">Results </w:t>
      </w:r>
    </w:p>
    <w:p w14:paraId="2F9A9129" w14:textId="775C65C8" w:rsidR="006F7614" w:rsidRPr="001A256F" w:rsidRDefault="006F7614" w:rsidP="00C8026D">
      <w:pPr>
        <w:pStyle w:val="ListParagraph"/>
        <w:numPr>
          <w:ilvl w:val="1"/>
          <w:numId w:val="3"/>
        </w:numPr>
        <w:spacing w:line="360" w:lineRule="auto"/>
        <w:rPr>
          <w:rFonts w:asciiTheme="majorBidi" w:hAnsiTheme="majorBidi" w:cstheme="majorBidi"/>
          <w:sz w:val="24"/>
          <w:szCs w:val="24"/>
          <w:u w:val="single"/>
        </w:rPr>
      </w:pPr>
      <w:r w:rsidRPr="001A256F">
        <w:rPr>
          <w:rFonts w:asciiTheme="majorBidi" w:hAnsiTheme="majorBidi" w:cstheme="majorBidi"/>
          <w:sz w:val="24"/>
          <w:szCs w:val="24"/>
          <w:u w:val="single"/>
        </w:rPr>
        <w:t xml:space="preserve">Classification Performance </w:t>
      </w:r>
    </w:p>
    <w:p w14:paraId="57BFA0DE" w14:textId="336025C8" w:rsidR="006F7614" w:rsidRDefault="006F7614" w:rsidP="006F7614">
      <w:pPr>
        <w:spacing w:line="360" w:lineRule="auto"/>
        <w:rPr>
          <w:rFonts w:asciiTheme="majorBidi" w:hAnsiTheme="majorBidi" w:cstheme="majorBidi"/>
        </w:rPr>
      </w:pPr>
      <w:r>
        <w:rPr>
          <w:rFonts w:asciiTheme="majorBidi" w:hAnsiTheme="majorBidi" w:cstheme="majorBidi"/>
        </w:rPr>
        <w:t xml:space="preserve"> The classification performance of  </w:t>
      </w:r>
      <w:r w:rsidR="006034AD">
        <w:rPr>
          <w:rFonts w:asciiTheme="majorBidi" w:hAnsiTheme="majorBidi" w:cstheme="majorBidi"/>
        </w:rPr>
        <w:t>L</w:t>
      </w:r>
      <w:r>
        <w:rPr>
          <w:rFonts w:asciiTheme="majorBidi" w:hAnsiTheme="majorBidi" w:cstheme="majorBidi"/>
        </w:rPr>
        <w:t>R an</w:t>
      </w:r>
      <w:r w:rsidR="006034AD">
        <w:rPr>
          <w:rFonts w:asciiTheme="majorBidi" w:hAnsiTheme="majorBidi" w:cstheme="majorBidi"/>
        </w:rPr>
        <w:t>d SVC</w:t>
      </w:r>
      <w:r>
        <w:rPr>
          <w:rFonts w:asciiTheme="majorBidi" w:hAnsiTheme="majorBidi" w:cstheme="majorBidi"/>
        </w:rPr>
        <w:t xml:space="preserve"> for ADR prediction on the independent test dataset is presented in Tables 1 and 2. Both models showed moderate predictive performance. SVC achieved </w:t>
      </w:r>
      <w:r>
        <w:rPr>
          <w:rFonts w:asciiTheme="majorBidi" w:hAnsiTheme="majorBidi" w:cstheme="majorBidi"/>
          <w:kern w:val="0"/>
          <w14:ligatures w14:val="none"/>
        </w:rPr>
        <w:t>higher recall and F1-score for ADR cases than LR, indicating improved sensitivity for</w:t>
      </w:r>
      <w:r>
        <w:rPr>
          <w:rFonts w:asciiTheme="majorBidi" w:hAnsiTheme="majorBidi" w:cstheme="majorBidi"/>
        </w:rPr>
        <w:t xml:space="preserve"> ADR detection under class imbalance. </w:t>
      </w:r>
    </w:p>
    <w:p w14:paraId="6D8B4FB8" w14:textId="77777777" w:rsidR="006F7614" w:rsidRPr="0008015A" w:rsidRDefault="006F7614" w:rsidP="006F7614">
      <w:pPr>
        <w:pStyle w:val="Caption"/>
        <w:keepNext/>
      </w:pPr>
      <w:r>
        <w:t>Table 1: Table showing LR classification report.</w:t>
      </w:r>
    </w:p>
    <w:tbl>
      <w:tblPr>
        <w:tblStyle w:val="TableGrid"/>
        <w:tblpPr w:leftFromText="180" w:rightFromText="180" w:vertAnchor="text" w:horzAnchor="margin" w:tblpY="28"/>
        <w:tblW w:w="0" w:type="auto"/>
        <w:tblLook w:val="04A0" w:firstRow="1" w:lastRow="0" w:firstColumn="1" w:lastColumn="0" w:noHBand="0" w:noVBand="1"/>
      </w:tblPr>
      <w:tblGrid>
        <w:gridCol w:w="1803"/>
        <w:gridCol w:w="1803"/>
        <w:gridCol w:w="1803"/>
        <w:gridCol w:w="1803"/>
        <w:gridCol w:w="1804"/>
      </w:tblGrid>
      <w:tr w:rsidR="006F7614" w14:paraId="28C755FB" w14:textId="77777777" w:rsidTr="006A7DE6">
        <w:tc>
          <w:tcPr>
            <w:tcW w:w="1803" w:type="dxa"/>
          </w:tcPr>
          <w:p w14:paraId="147E3557" w14:textId="77777777" w:rsidR="006F7614" w:rsidRDefault="006F7614" w:rsidP="006A7DE6">
            <w:r>
              <w:t>Class</w:t>
            </w:r>
          </w:p>
        </w:tc>
        <w:tc>
          <w:tcPr>
            <w:tcW w:w="1803" w:type="dxa"/>
          </w:tcPr>
          <w:p w14:paraId="48D108DF" w14:textId="77777777" w:rsidR="006F7614" w:rsidRDefault="006F7614" w:rsidP="006A7DE6">
            <w:r>
              <w:t>Precision</w:t>
            </w:r>
          </w:p>
        </w:tc>
        <w:tc>
          <w:tcPr>
            <w:tcW w:w="1803" w:type="dxa"/>
          </w:tcPr>
          <w:p w14:paraId="164E2AAE" w14:textId="77777777" w:rsidR="006F7614" w:rsidRDefault="006F7614" w:rsidP="006A7DE6">
            <w:r>
              <w:t>Recall</w:t>
            </w:r>
          </w:p>
        </w:tc>
        <w:tc>
          <w:tcPr>
            <w:tcW w:w="1803" w:type="dxa"/>
          </w:tcPr>
          <w:p w14:paraId="4FC81C9E" w14:textId="77777777" w:rsidR="006F7614" w:rsidRDefault="006F7614" w:rsidP="006A7DE6">
            <w:r>
              <w:t>F1-score</w:t>
            </w:r>
          </w:p>
        </w:tc>
        <w:tc>
          <w:tcPr>
            <w:tcW w:w="1804" w:type="dxa"/>
          </w:tcPr>
          <w:p w14:paraId="4AFEB735" w14:textId="77777777" w:rsidR="006F7614" w:rsidRDefault="006F7614" w:rsidP="006A7DE6">
            <w:r>
              <w:t>Support</w:t>
            </w:r>
          </w:p>
        </w:tc>
      </w:tr>
      <w:tr w:rsidR="006F7614" w14:paraId="46547DC5" w14:textId="77777777" w:rsidTr="006A7DE6">
        <w:tc>
          <w:tcPr>
            <w:tcW w:w="1803" w:type="dxa"/>
          </w:tcPr>
          <w:p w14:paraId="023A3CFA" w14:textId="77777777" w:rsidR="006F7614" w:rsidRDefault="006F7614" w:rsidP="006A7DE6">
            <w:r>
              <w:t xml:space="preserve">0 – no ADR </w:t>
            </w:r>
          </w:p>
        </w:tc>
        <w:tc>
          <w:tcPr>
            <w:tcW w:w="1803" w:type="dxa"/>
          </w:tcPr>
          <w:p w14:paraId="0F41FE8B" w14:textId="77777777" w:rsidR="006F7614" w:rsidRDefault="006F7614" w:rsidP="006A7DE6">
            <w:r>
              <w:t>0.80</w:t>
            </w:r>
          </w:p>
        </w:tc>
        <w:tc>
          <w:tcPr>
            <w:tcW w:w="1803" w:type="dxa"/>
          </w:tcPr>
          <w:p w14:paraId="71CEC50E" w14:textId="77777777" w:rsidR="006F7614" w:rsidRDefault="006F7614" w:rsidP="006A7DE6">
            <w:r>
              <w:t>0.72</w:t>
            </w:r>
          </w:p>
        </w:tc>
        <w:tc>
          <w:tcPr>
            <w:tcW w:w="1803" w:type="dxa"/>
          </w:tcPr>
          <w:p w14:paraId="246AA186" w14:textId="77777777" w:rsidR="006F7614" w:rsidRDefault="006F7614" w:rsidP="006A7DE6">
            <w:r>
              <w:t>0.76</w:t>
            </w:r>
          </w:p>
        </w:tc>
        <w:tc>
          <w:tcPr>
            <w:tcW w:w="1804" w:type="dxa"/>
          </w:tcPr>
          <w:p w14:paraId="29C359B0" w14:textId="77777777" w:rsidR="006F7614" w:rsidRDefault="006F7614" w:rsidP="006A7DE6">
            <w:r>
              <w:t>137</w:t>
            </w:r>
          </w:p>
        </w:tc>
      </w:tr>
      <w:tr w:rsidR="006F7614" w14:paraId="5C13469E" w14:textId="77777777" w:rsidTr="006A7DE6">
        <w:tc>
          <w:tcPr>
            <w:tcW w:w="1803" w:type="dxa"/>
          </w:tcPr>
          <w:p w14:paraId="3269B753" w14:textId="77777777" w:rsidR="006F7614" w:rsidRDefault="006F7614" w:rsidP="006A7DE6">
            <w:r>
              <w:t xml:space="preserve">1 – ADR </w:t>
            </w:r>
          </w:p>
        </w:tc>
        <w:tc>
          <w:tcPr>
            <w:tcW w:w="1803" w:type="dxa"/>
          </w:tcPr>
          <w:p w14:paraId="1CAAACF1" w14:textId="77777777" w:rsidR="006F7614" w:rsidRDefault="006F7614" w:rsidP="006A7DE6">
            <w:r>
              <w:t>0.54</w:t>
            </w:r>
          </w:p>
        </w:tc>
        <w:tc>
          <w:tcPr>
            <w:tcW w:w="1803" w:type="dxa"/>
          </w:tcPr>
          <w:p w14:paraId="5AB95F75" w14:textId="77777777" w:rsidR="006F7614" w:rsidRDefault="006F7614" w:rsidP="006A7DE6">
            <w:r>
              <w:t>0.64</w:t>
            </w:r>
          </w:p>
        </w:tc>
        <w:tc>
          <w:tcPr>
            <w:tcW w:w="1803" w:type="dxa"/>
          </w:tcPr>
          <w:p w14:paraId="148FF767" w14:textId="77777777" w:rsidR="006F7614" w:rsidRDefault="006F7614" w:rsidP="006A7DE6">
            <w:r>
              <w:t>0.58</w:t>
            </w:r>
          </w:p>
        </w:tc>
        <w:tc>
          <w:tcPr>
            <w:tcW w:w="1804" w:type="dxa"/>
          </w:tcPr>
          <w:p w14:paraId="7212F378" w14:textId="77777777" w:rsidR="006F7614" w:rsidRDefault="006F7614" w:rsidP="006A7DE6">
            <w:r>
              <w:t>69</w:t>
            </w:r>
          </w:p>
        </w:tc>
      </w:tr>
      <w:tr w:rsidR="006F7614" w14:paraId="1918960C" w14:textId="77777777" w:rsidTr="006A7DE6">
        <w:tc>
          <w:tcPr>
            <w:tcW w:w="1803" w:type="dxa"/>
          </w:tcPr>
          <w:p w14:paraId="6A88F72F" w14:textId="77777777" w:rsidR="006F7614" w:rsidRDefault="006F7614" w:rsidP="006A7DE6">
            <w:r>
              <w:t>Accuracy</w:t>
            </w:r>
          </w:p>
        </w:tc>
        <w:tc>
          <w:tcPr>
            <w:tcW w:w="1803" w:type="dxa"/>
          </w:tcPr>
          <w:p w14:paraId="237FB379" w14:textId="77777777" w:rsidR="006F7614" w:rsidRDefault="006F7614" w:rsidP="006A7DE6"/>
        </w:tc>
        <w:tc>
          <w:tcPr>
            <w:tcW w:w="1803" w:type="dxa"/>
          </w:tcPr>
          <w:p w14:paraId="7514E3EC" w14:textId="77777777" w:rsidR="006F7614" w:rsidRDefault="006F7614" w:rsidP="006A7DE6">
            <w:r>
              <w:t>0.69</w:t>
            </w:r>
          </w:p>
        </w:tc>
        <w:tc>
          <w:tcPr>
            <w:tcW w:w="1803" w:type="dxa"/>
          </w:tcPr>
          <w:p w14:paraId="3D78D310" w14:textId="77777777" w:rsidR="006F7614" w:rsidRDefault="006F7614" w:rsidP="006A7DE6"/>
        </w:tc>
        <w:tc>
          <w:tcPr>
            <w:tcW w:w="1804" w:type="dxa"/>
          </w:tcPr>
          <w:p w14:paraId="5F45F017" w14:textId="77777777" w:rsidR="006F7614" w:rsidRDefault="006F7614" w:rsidP="006A7DE6">
            <w:r>
              <w:t>206</w:t>
            </w:r>
          </w:p>
        </w:tc>
      </w:tr>
    </w:tbl>
    <w:p w14:paraId="5F410F38" w14:textId="77777777" w:rsidR="006F7614" w:rsidRDefault="006F7614" w:rsidP="006F7614">
      <w:pPr>
        <w:spacing w:line="360" w:lineRule="auto"/>
        <w:rPr>
          <w:rFonts w:asciiTheme="majorBidi" w:hAnsiTheme="majorBidi" w:cstheme="majorBidi"/>
        </w:rPr>
      </w:pPr>
    </w:p>
    <w:tbl>
      <w:tblPr>
        <w:tblStyle w:val="TableGrid"/>
        <w:tblpPr w:leftFromText="180" w:rightFromText="180" w:vertAnchor="text" w:horzAnchor="margin" w:tblpY="279"/>
        <w:tblW w:w="0" w:type="auto"/>
        <w:tblLook w:val="04A0" w:firstRow="1" w:lastRow="0" w:firstColumn="1" w:lastColumn="0" w:noHBand="0" w:noVBand="1"/>
      </w:tblPr>
      <w:tblGrid>
        <w:gridCol w:w="1746"/>
        <w:gridCol w:w="1741"/>
        <w:gridCol w:w="1719"/>
        <w:gridCol w:w="1715"/>
        <w:gridCol w:w="1735"/>
      </w:tblGrid>
      <w:tr w:rsidR="006F7614" w14:paraId="3A65D5FB" w14:textId="77777777" w:rsidTr="006A7DE6">
        <w:tc>
          <w:tcPr>
            <w:tcW w:w="1746" w:type="dxa"/>
          </w:tcPr>
          <w:p w14:paraId="5DF1AE69" w14:textId="77777777" w:rsidR="006F7614" w:rsidRDefault="006F7614" w:rsidP="006A7DE6">
            <w:r>
              <w:t>Class</w:t>
            </w:r>
          </w:p>
        </w:tc>
        <w:tc>
          <w:tcPr>
            <w:tcW w:w="1741" w:type="dxa"/>
          </w:tcPr>
          <w:p w14:paraId="1BBCCE89" w14:textId="77777777" w:rsidR="006F7614" w:rsidRDefault="006F7614" w:rsidP="006A7DE6">
            <w:r>
              <w:t>Precision</w:t>
            </w:r>
          </w:p>
        </w:tc>
        <w:tc>
          <w:tcPr>
            <w:tcW w:w="1719" w:type="dxa"/>
          </w:tcPr>
          <w:p w14:paraId="354C0FD3" w14:textId="77777777" w:rsidR="006F7614" w:rsidRDefault="006F7614" w:rsidP="006A7DE6">
            <w:r>
              <w:t>Recall</w:t>
            </w:r>
          </w:p>
        </w:tc>
        <w:tc>
          <w:tcPr>
            <w:tcW w:w="1715" w:type="dxa"/>
          </w:tcPr>
          <w:p w14:paraId="4207D204" w14:textId="77777777" w:rsidR="006F7614" w:rsidRDefault="006F7614" w:rsidP="006A7DE6">
            <w:r>
              <w:t>F1-score</w:t>
            </w:r>
          </w:p>
        </w:tc>
        <w:tc>
          <w:tcPr>
            <w:tcW w:w="1735" w:type="dxa"/>
          </w:tcPr>
          <w:p w14:paraId="4110BE6B" w14:textId="77777777" w:rsidR="006F7614" w:rsidRDefault="006F7614" w:rsidP="006A7DE6">
            <w:r>
              <w:t>Support</w:t>
            </w:r>
          </w:p>
        </w:tc>
      </w:tr>
      <w:tr w:rsidR="006F7614" w14:paraId="6C714B9B" w14:textId="77777777" w:rsidTr="006A7DE6">
        <w:tc>
          <w:tcPr>
            <w:tcW w:w="1746" w:type="dxa"/>
          </w:tcPr>
          <w:p w14:paraId="6FCEC01E" w14:textId="77777777" w:rsidR="006F7614" w:rsidRDefault="006F7614" w:rsidP="006A7DE6">
            <w:r>
              <w:t>0 – no ADR</w:t>
            </w:r>
          </w:p>
        </w:tc>
        <w:tc>
          <w:tcPr>
            <w:tcW w:w="1741" w:type="dxa"/>
          </w:tcPr>
          <w:p w14:paraId="69AD391B" w14:textId="77777777" w:rsidR="006F7614" w:rsidRDefault="006F7614" w:rsidP="006A7DE6">
            <w:r>
              <w:t>0.81</w:t>
            </w:r>
          </w:p>
        </w:tc>
        <w:tc>
          <w:tcPr>
            <w:tcW w:w="1719" w:type="dxa"/>
          </w:tcPr>
          <w:p w14:paraId="3574A48A" w14:textId="77777777" w:rsidR="006F7614" w:rsidRDefault="006F7614" w:rsidP="006A7DE6">
            <w:r>
              <w:t>0.74</w:t>
            </w:r>
          </w:p>
        </w:tc>
        <w:tc>
          <w:tcPr>
            <w:tcW w:w="1715" w:type="dxa"/>
          </w:tcPr>
          <w:p w14:paraId="56D912E8" w14:textId="77777777" w:rsidR="006F7614" w:rsidRDefault="006F7614" w:rsidP="006A7DE6">
            <w:r>
              <w:t>0.78</w:t>
            </w:r>
          </w:p>
        </w:tc>
        <w:tc>
          <w:tcPr>
            <w:tcW w:w="1735" w:type="dxa"/>
          </w:tcPr>
          <w:p w14:paraId="60B720C7" w14:textId="77777777" w:rsidR="006F7614" w:rsidRDefault="006F7614" w:rsidP="006A7DE6">
            <w:r>
              <w:t>137</w:t>
            </w:r>
          </w:p>
        </w:tc>
      </w:tr>
      <w:tr w:rsidR="006F7614" w14:paraId="1F78ADDB" w14:textId="77777777" w:rsidTr="006A7DE6">
        <w:tc>
          <w:tcPr>
            <w:tcW w:w="1746" w:type="dxa"/>
          </w:tcPr>
          <w:p w14:paraId="516E66EE" w14:textId="77777777" w:rsidR="006F7614" w:rsidRDefault="006F7614" w:rsidP="006A7DE6">
            <w:r>
              <w:t xml:space="preserve">1 – ADR </w:t>
            </w:r>
          </w:p>
        </w:tc>
        <w:tc>
          <w:tcPr>
            <w:tcW w:w="1741" w:type="dxa"/>
          </w:tcPr>
          <w:p w14:paraId="136F886A" w14:textId="77777777" w:rsidR="006F7614" w:rsidRDefault="006F7614" w:rsidP="006A7DE6">
            <w:r>
              <w:t>0.56</w:t>
            </w:r>
          </w:p>
        </w:tc>
        <w:tc>
          <w:tcPr>
            <w:tcW w:w="1719" w:type="dxa"/>
          </w:tcPr>
          <w:p w14:paraId="38D0F6B7" w14:textId="77777777" w:rsidR="006F7614" w:rsidRDefault="006F7614" w:rsidP="006A7DE6">
            <w:r>
              <w:t>0.65</w:t>
            </w:r>
          </w:p>
        </w:tc>
        <w:tc>
          <w:tcPr>
            <w:tcW w:w="1715" w:type="dxa"/>
          </w:tcPr>
          <w:p w14:paraId="4395AAC3" w14:textId="77777777" w:rsidR="006F7614" w:rsidRDefault="006F7614" w:rsidP="006A7DE6">
            <w:r>
              <w:t>0.60</w:t>
            </w:r>
          </w:p>
        </w:tc>
        <w:tc>
          <w:tcPr>
            <w:tcW w:w="1735" w:type="dxa"/>
          </w:tcPr>
          <w:p w14:paraId="5FC4E456" w14:textId="77777777" w:rsidR="006F7614" w:rsidRDefault="006F7614" w:rsidP="006A7DE6">
            <w:r>
              <w:t>69</w:t>
            </w:r>
          </w:p>
        </w:tc>
      </w:tr>
      <w:tr w:rsidR="006F7614" w14:paraId="72CFCECF" w14:textId="77777777" w:rsidTr="006A7DE6">
        <w:tc>
          <w:tcPr>
            <w:tcW w:w="1746" w:type="dxa"/>
          </w:tcPr>
          <w:p w14:paraId="73B272A3" w14:textId="77777777" w:rsidR="006F7614" w:rsidRDefault="006F7614" w:rsidP="006A7DE6">
            <w:r>
              <w:t>Accuracy</w:t>
            </w:r>
          </w:p>
        </w:tc>
        <w:tc>
          <w:tcPr>
            <w:tcW w:w="1741" w:type="dxa"/>
          </w:tcPr>
          <w:p w14:paraId="1FE4CD61" w14:textId="77777777" w:rsidR="006F7614" w:rsidRDefault="006F7614" w:rsidP="006A7DE6"/>
        </w:tc>
        <w:tc>
          <w:tcPr>
            <w:tcW w:w="1719" w:type="dxa"/>
          </w:tcPr>
          <w:p w14:paraId="27A7C6F3" w14:textId="77777777" w:rsidR="006F7614" w:rsidRDefault="006F7614" w:rsidP="006A7DE6">
            <w:r>
              <w:t>0.71</w:t>
            </w:r>
          </w:p>
        </w:tc>
        <w:tc>
          <w:tcPr>
            <w:tcW w:w="1715" w:type="dxa"/>
          </w:tcPr>
          <w:p w14:paraId="6A882168" w14:textId="77777777" w:rsidR="006F7614" w:rsidRDefault="006F7614" w:rsidP="006A7DE6"/>
        </w:tc>
        <w:tc>
          <w:tcPr>
            <w:tcW w:w="1735" w:type="dxa"/>
          </w:tcPr>
          <w:p w14:paraId="0376776A" w14:textId="77777777" w:rsidR="006F7614" w:rsidRDefault="006F7614" w:rsidP="006A7DE6"/>
        </w:tc>
      </w:tr>
    </w:tbl>
    <w:p w14:paraId="293DC8F9" w14:textId="77777777" w:rsidR="006F7614" w:rsidRDefault="006F7614" w:rsidP="006F7614">
      <w:pPr>
        <w:pStyle w:val="Caption"/>
        <w:keepNext/>
      </w:pPr>
      <w:r>
        <w:t>Table 2: SVC classification report</w:t>
      </w:r>
    </w:p>
    <w:p w14:paraId="4253AFFB" w14:textId="77777777" w:rsidR="006F7614" w:rsidRDefault="006F7614" w:rsidP="006F7614">
      <w:pPr>
        <w:spacing w:line="360" w:lineRule="auto"/>
        <w:rPr>
          <w:rFonts w:asciiTheme="majorBidi" w:hAnsiTheme="majorBidi" w:cstheme="majorBidi"/>
        </w:rPr>
      </w:pPr>
    </w:p>
    <w:p w14:paraId="1F92FA84" w14:textId="77777777" w:rsidR="006F7614" w:rsidRDefault="006F7614" w:rsidP="006F7614">
      <w:pPr>
        <w:spacing w:line="360" w:lineRule="auto"/>
        <w:rPr>
          <w:rFonts w:asciiTheme="majorBidi" w:hAnsiTheme="majorBidi" w:cstheme="majorBidi"/>
        </w:rPr>
      </w:pPr>
    </w:p>
    <w:p w14:paraId="77E18691" w14:textId="77777777" w:rsidR="00C8026D" w:rsidRDefault="00C8026D" w:rsidP="006F7614">
      <w:pPr>
        <w:spacing w:line="360" w:lineRule="auto"/>
        <w:rPr>
          <w:rFonts w:asciiTheme="majorBidi" w:hAnsiTheme="majorBidi" w:cstheme="majorBidi"/>
        </w:rPr>
      </w:pPr>
    </w:p>
    <w:p w14:paraId="36D5E397" w14:textId="77777777" w:rsidR="00C8026D" w:rsidRDefault="00C8026D" w:rsidP="006F7614">
      <w:pPr>
        <w:spacing w:line="360" w:lineRule="auto"/>
        <w:rPr>
          <w:rFonts w:asciiTheme="majorBidi" w:hAnsiTheme="majorBidi" w:cstheme="majorBidi"/>
        </w:rPr>
      </w:pPr>
    </w:p>
    <w:p w14:paraId="64A1549F" w14:textId="2C11A304" w:rsidR="006F7614" w:rsidRPr="00872F79" w:rsidRDefault="006F7614" w:rsidP="00C8026D">
      <w:pPr>
        <w:pStyle w:val="ListParagraph"/>
        <w:numPr>
          <w:ilvl w:val="1"/>
          <w:numId w:val="3"/>
        </w:numPr>
        <w:spacing w:line="360" w:lineRule="auto"/>
        <w:rPr>
          <w:rFonts w:asciiTheme="majorBidi" w:hAnsiTheme="majorBidi" w:cstheme="majorBidi"/>
          <w:u w:val="single"/>
        </w:rPr>
      </w:pPr>
      <w:r w:rsidRPr="00872F79">
        <w:rPr>
          <w:rFonts w:asciiTheme="majorBidi" w:hAnsiTheme="majorBidi" w:cstheme="majorBidi"/>
          <w:u w:val="single"/>
        </w:rPr>
        <w:t xml:space="preserve">Confusion Matrix Analysis </w:t>
      </w:r>
    </w:p>
    <w:p w14:paraId="1C383A38" w14:textId="4394EC80" w:rsidR="006F7614" w:rsidRDefault="006F7614"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lastRenderedPageBreak/>
        <w:t xml:space="preserve">The confusion matrices for LR and SVC are shown in </w:t>
      </w:r>
      <w:r w:rsidR="00824B2C">
        <w:rPr>
          <w:rFonts w:asciiTheme="majorBidi" w:hAnsiTheme="majorBidi" w:cstheme="majorBidi"/>
          <w:kern w:val="0"/>
          <w14:ligatures w14:val="none"/>
        </w:rPr>
        <w:fldChar w:fldCharType="begin"/>
      </w:r>
      <w:r w:rsidR="00824B2C">
        <w:rPr>
          <w:rFonts w:asciiTheme="majorBidi" w:hAnsiTheme="majorBidi" w:cstheme="majorBidi"/>
          <w:kern w:val="0"/>
          <w14:ligatures w14:val="none"/>
        </w:rPr>
        <w:instrText xml:space="preserve"> REF _Ref219055811 \h </w:instrText>
      </w:r>
      <w:r w:rsidR="00824B2C">
        <w:rPr>
          <w:rFonts w:asciiTheme="majorBidi" w:hAnsiTheme="majorBidi" w:cstheme="majorBidi"/>
          <w:kern w:val="0"/>
          <w14:ligatures w14:val="none"/>
        </w:rPr>
      </w:r>
      <w:r w:rsidR="00824B2C">
        <w:rPr>
          <w:rFonts w:asciiTheme="majorBidi" w:hAnsiTheme="majorBidi" w:cstheme="majorBidi"/>
          <w:kern w:val="0"/>
          <w14:ligatures w14:val="none"/>
        </w:rPr>
        <w:fldChar w:fldCharType="separate"/>
      </w:r>
      <w:r w:rsidR="00824B2C" w:rsidRPr="0012626E">
        <w:rPr>
          <w:rFonts w:asciiTheme="majorBidi" w:hAnsiTheme="majorBidi" w:cstheme="majorBidi"/>
        </w:rPr>
        <w:t xml:space="preserve">Figure </w:t>
      </w:r>
      <w:r w:rsidR="00824B2C">
        <w:rPr>
          <w:rFonts w:asciiTheme="majorBidi" w:hAnsiTheme="majorBidi" w:cstheme="majorBidi"/>
          <w:noProof/>
        </w:rPr>
        <w:t xml:space="preserve">3 and </w:t>
      </w:r>
      <w:r w:rsidR="00824B2C">
        <w:rPr>
          <w:rFonts w:asciiTheme="majorBidi" w:hAnsiTheme="majorBidi" w:cstheme="majorBidi"/>
          <w:noProof/>
        </w:rPr>
        <w:fldChar w:fldCharType="begin"/>
      </w:r>
      <w:r w:rsidR="00824B2C">
        <w:rPr>
          <w:rFonts w:asciiTheme="majorBidi" w:hAnsiTheme="majorBidi" w:cstheme="majorBidi"/>
          <w:noProof/>
        </w:rPr>
        <w:instrText xml:space="preserve"> REF _Ref219055840 \h </w:instrText>
      </w:r>
      <w:r w:rsidR="00824B2C">
        <w:rPr>
          <w:rFonts w:asciiTheme="majorBidi" w:hAnsiTheme="majorBidi" w:cstheme="majorBidi"/>
          <w:noProof/>
        </w:rPr>
      </w:r>
      <w:r w:rsidR="00824B2C">
        <w:rPr>
          <w:rFonts w:asciiTheme="majorBidi" w:hAnsiTheme="majorBidi" w:cstheme="majorBidi"/>
          <w:noProof/>
        </w:rPr>
        <w:fldChar w:fldCharType="separate"/>
      </w:r>
      <w:r w:rsidR="00824B2C" w:rsidRPr="00260BF2">
        <w:rPr>
          <w:sz w:val="20"/>
          <w:szCs w:val="20"/>
        </w:rPr>
        <w:t xml:space="preserve">Figure </w:t>
      </w:r>
      <w:r w:rsidR="00824B2C">
        <w:rPr>
          <w:noProof/>
          <w:sz w:val="20"/>
          <w:szCs w:val="20"/>
        </w:rPr>
        <w:t>4</w:t>
      </w:r>
      <w:r w:rsidR="00824B2C" w:rsidRPr="00260BF2">
        <w:rPr>
          <w:sz w:val="20"/>
          <w:szCs w:val="20"/>
        </w:rPr>
        <w:t>:</w:t>
      </w:r>
      <w:r w:rsidR="00824B2C">
        <w:rPr>
          <w:sz w:val="20"/>
          <w:szCs w:val="20"/>
        </w:rPr>
        <w:t xml:space="preserve"> </w:t>
      </w:r>
      <w:r w:rsidR="00824B2C" w:rsidRPr="00260BF2">
        <w:rPr>
          <w:sz w:val="20"/>
          <w:szCs w:val="20"/>
        </w:rPr>
        <w:t>Confusion matrix for the Support Vector Classifier</w:t>
      </w:r>
      <w:r w:rsidR="00824B2C">
        <w:rPr>
          <w:sz w:val="20"/>
          <w:szCs w:val="20"/>
        </w:rPr>
        <w:t>,</w:t>
      </w:r>
      <w:r w:rsidR="00824B2C" w:rsidRPr="00260BF2">
        <w:rPr>
          <w:sz w:val="20"/>
          <w:szCs w:val="20"/>
        </w:rPr>
        <w:t xml:space="preserve"> highlighting improved ADR case detection compared with Logistic Regression.</w:t>
      </w:r>
      <w:r w:rsidR="00824B2C">
        <w:rPr>
          <w:rFonts w:asciiTheme="majorBidi" w:hAnsiTheme="majorBidi" w:cstheme="majorBidi"/>
          <w:noProof/>
        </w:rPr>
        <w:fldChar w:fldCharType="end"/>
      </w:r>
      <w:r w:rsidR="00824B2C">
        <w:rPr>
          <w:rFonts w:asciiTheme="majorBidi" w:hAnsiTheme="majorBidi" w:cstheme="majorBidi"/>
          <w:noProof/>
        </w:rPr>
        <w:t xml:space="preserve"> </w:t>
      </w:r>
      <w:r w:rsidR="00824B2C" w:rsidRPr="0012626E">
        <w:rPr>
          <w:rFonts w:asciiTheme="majorBidi" w:hAnsiTheme="majorBidi" w:cstheme="majorBidi"/>
        </w:rPr>
        <w:t>:</w:t>
      </w:r>
      <w:r w:rsidR="00824B2C">
        <w:rPr>
          <w:rFonts w:asciiTheme="majorBidi" w:hAnsiTheme="majorBidi" w:cstheme="majorBidi"/>
        </w:rPr>
        <w:t xml:space="preserve"> </w:t>
      </w:r>
      <w:r w:rsidR="00824B2C" w:rsidRPr="0012626E">
        <w:rPr>
          <w:rFonts w:asciiTheme="majorBidi" w:hAnsiTheme="majorBidi" w:cstheme="majorBidi"/>
        </w:rPr>
        <w:t>Confusion Matrix for the Logistic Regression model illustrating true and false classifications for ADR detection on the test dataset.</w:t>
      </w:r>
      <w:r w:rsidR="00824B2C">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As illustrated, both models prioritised identifying ADR cases through class-balanced learning. The SVC identified a slightly higher proportion of ADR cases, accompanied by a modest increase in false-positive predictions. This pattern reflects a sensitivity-oriented classification strategy aligned with patient safety priorities in ADR detection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{"citationID":"t1QdqMqs","properties":{"formattedCitation":"(Van Dung et al., 2025a)","plainCitation":"(Van Dung et al., 2025a)","noteIndex":0},"citationItems":[{"id":"EtHRhwhX/RvWLRi9Y","uris":["http://zotero.org/users/13727123/items/8MUCTIPI"],"itemData":{"id":544,"type":"article-journal","abstract":"Drug-induced immune thrombocytopenia (DITP) is a rare but potentially life-threatening adverse drug reaction, often underrecognized due to its nonspecific presentation and the lack of real-time diagnostic tools. Early identification of at-risk patients is critical to improving medication safety and preventing severe complications.","container-title":"BMC Medical Informatics and Decision Making","DOI":"10.1186/s12911-025-03107-3","ISSN":"1472-6947","issue":"1","journalAbbreviation":"BMC Med Inform Decis Mak","language":"en","page":"265","source":"Springer Link","title":"Development and external validation of a machine learning model for predicting drug-induced immune thrombocytopenia in a real-world hospital cohort","volume":"25","author":[{"family":"Van Dung","given":"Hoang"},{"family":"Tan","given":"Vu Manh"},{"family":"Dieu","given":"Nguyen Thi"},{"family":"Van Linh","given":"Pham"},{"family":"Van Khai","given":"Nguyen"},{"family":"Ngan","given":"Tran Thi"},{"family":"Phuong","given":"Nguyen Thi Thu"}],"issued":{"date-parts":[["2025",7,15]]}}}],"schema":"https://github.com/citation-style-language/schema/raw/master/csl-citation.json"} </w:instrText>
      </w:r>
      <w:r>
        <w:rPr>
          <w:rFonts w:asciiTheme="majorBidi" w:hAnsiTheme="majorBidi" w:cstheme="majorBidi"/>
          <w:kern w:val="0"/>
          <w14:ligatures w14:val="none"/>
        </w:rPr>
        <w:fldChar w:fldCharType="separate"/>
      </w:r>
      <w:r>
        <w:rPr>
          <w:rFonts w:ascii="Times New Roman" w:hAnsi="Times New Roman" w:cs="Times New Roman"/>
          <w:kern w:val="0"/>
          <w14:ligatures w14:val="none"/>
        </w:rPr>
        <w:t>(Van Dung et al., 2025a)</w:t>
      </w:r>
      <w:r>
        <w:rPr>
          <w:rFonts w:asciiTheme="majorBidi" w:hAnsiTheme="majorBidi" w:cstheme="majorBidi"/>
          <w:kern w:val="0"/>
          <w14:ligatures w14:val="none"/>
        </w:rPr>
        <w:fldChar w:fldCharType="end"/>
      </w:r>
      <w:r>
        <w:rPr>
          <w:rFonts w:asciiTheme="majorBidi" w:hAnsiTheme="majorBidi" w:cstheme="majorBidi"/>
          <w:kern w:val="0"/>
          <w14:ligatures w14:val="none"/>
        </w:rPr>
        <w:t>.</w:t>
      </w:r>
      <w:r w:rsidR="00824B2C">
        <w:rPr>
          <w:rFonts w:asciiTheme="majorBidi" w:hAnsiTheme="majorBidi" w:cstheme="majorBidi"/>
          <w:kern w:val="0"/>
          <w14:ligatures w14:val="none"/>
        </w:rPr>
        <w:t xml:space="preserve"> </w:t>
      </w:r>
    </w:p>
    <w:p w14:paraId="341E43BF" w14:textId="25CF1106" w:rsidR="006F7614" w:rsidRDefault="006F7614" w:rsidP="006F7614">
      <w:pPr>
        <w:spacing w:line="360" w:lineRule="auto"/>
        <w:jc w:val="center"/>
        <w:rPr>
          <w:rFonts w:asciiTheme="majorBidi" w:hAnsiTheme="majorBidi" w:cstheme="majorBidi"/>
          <w:kern w:val="0"/>
          <w14:ligatures w14:val="none"/>
        </w:rPr>
      </w:pPr>
      <w:r w:rsidRPr="000D3C8C">
        <w:rPr>
          <w:rFonts w:asciiTheme="majorBidi" w:hAnsiTheme="majorBidi" w:cstheme="majorBidi"/>
          <w:noProof/>
        </w:rPr>
        <w:drawing>
          <wp:inline distT="0" distB="0" distL="0" distR="0" wp14:anchorId="6956650E" wp14:editId="413C2703">
            <wp:extent cx="1219200" cy="647700"/>
            <wp:effectExtent l="0" t="0" r="0" b="0"/>
            <wp:docPr id="1139539562"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9562" name="Picture 1" descr="A number with black text&#10;&#10;AI-generated content may be incorrect."/>
                    <pic:cNvPicPr/>
                  </pic:nvPicPr>
                  <pic:blipFill>
                    <a:blip r:embed="rId8"/>
                    <a:stretch>
                      <a:fillRect/>
                    </a:stretch>
                  </pic:blipFill>
                  <pic:spPr>
                    <a:xfrm>
                      <a:off x="0" y="0"/>
                      <a:ext cx="1219200" cy="647700"/>
                    </a:xfrm>
                    <a:prstGeom prst="rect">
                      <a:avLst/>
                    </a:prstGeom>
                  </pic:spPr>
                </pic:pic>
              </a:graphicData>
            </a:graphic>
          </wp:inline>
        </w:drawing>
      </w:r>
    </w:p>
    <w:p w14:paraId="0819C238" w14:textId="273F0D6B" w:rsidR="006F7614" w:rsidRDefault="006F7614" w:rsidP="006F7614">
      <w:pPr>
        <w:pStyle w:val="Caption"/>
        <w:spacing w:line="360" w:lineRule="auto"/>
        <w:rPr>
          <w:rFonts w:asciiTheme="majorBidi" w:hAnsiTheme="majorBidi" w:cstheme="majorBidi"/>
          <w:sz w:val="22"/>
          <w:szCs w:val="22"/>
        </w:rPr>
      </w:pPr>
      <w:bookmarkStart w:id="5" w:name="_Ref219055811"/>
      <w:r w:rsidRPr="0012626E">
        <w:rPr>
          <w:rFonts w:asciiTheme="majorBidi" w:hAnsiTheme="majorBidi" w:cstheme="majorBidi"/>
          <w:sz w:val="22"/>
          <w:szCs w:val="22"/>
        </w:rPr>
        <w:t xml:space="preserve">Figure </w:t>
      </w:r>
      <w:r w:rsidRPr="0012626E">
        <w:rPr>
          <w:rFonts w:asciiTheme="majorBidi" w:hAnsiTheme="majorBidi" w:cstheme="majorBidi"/>
          <w:sz w:val="22"/>
          <w:szCs w:val="22"/>
        </w:rPr>
        <w:fldChar w:fldCharType="begin"/>
      </w:r>
      <w:r w:rsidRPr="0012626E">
        <w:rPr>
          <w:rFonts w:asciiTheme="majorBidi" w:hAnsiTheme="majorBidi" w:cstheme="majorBidi"/>
          <w:sz w:val="22"/>
          <w:szCs w:val="22"/>
        </w:rPr>
        <w:instrText xml:space="preserve"> SEQ Figure \* ARABIC </w:instrText>
      </w:r>
      <w:r w:rsidRPr="0012626E">
        <w:rPr>
          <w:rFonts w:asciiTheme="majorBidi" w:hAnsiTheme="majorBidi" w:cstheme="majorBidi"/>
          <w:sz w:val="22"/>
          <w:szCs w:val="22"/>
        </w:rPr>
        <w:fldChar w:fldCharType="separate"/>
      </w:r>
      <w:r w:rsidR="001E374B">
        <w:rPr>
          <w:rFonts w:asciiTheme="majorBidi" w:hAnsiTheme="majorBidi" w:cstheme="majorBidi"/>
          <w:noProof/>
          <w:sz w:val="22"/>
          <w:szCs w:val="22"/>
        </w:rPr>
        <w:t>3</w:t>
      </w:r>
      <w:r w:rsidRPr="0012626E">
        <w:rPr>
          <w:rFonts w:asciiTheme="majorBidi" w:hAnsiTheme="majorBidi" w:cstheme="majorBidi"/>
          <w:noProof/>
          <w:sz w:val="22"/>
          <w:szCs w:val="22"/>
        </w:rPr>
        <w:fldChar w:fldCharType="end"/>
      </w:r>
      <w:r w:rsidRPr="0012626E">
        <w:rPr>
          <w:rFonts w:asciiTheme="majorBidi" w:hAnsiTheme="majorBidi" w:cstheme="majorBidi"/>
          <w:sz w:val="22"/>
          <w:szCs w:val="22"/>
        </w:rPr>
        <w:t>:</w:t>
      </w:r>
      <w:r>
        <w:rPr>
          <w:rFonts w:asciiTheme="majorBidi" w:hAnsiTheme="majorBidi" w:cstheme="majorBidi"/>
          <w:sz w:val="22"/>
          <w:szCs w:val="22"/>
        </w:rPr>
        <w:t xml:space="preserve"> </w:t>
      </w:r>
      <w:r w:rsidRPr="0012626E">
        <w:rPr>
          <w:rFonts w:asciiTheme="majorBidi" w:hAnsiTheme="majorBidi" w:cstheme="majorBidi"/>
          <w:sz w:val="22"/>
          <w:szCs w:val="22"/>
        </w:rPr>
        <w:t>Confusion Matrix for the Logistic Regression model illustrating true and false classifications for ADR detection on the test dataset.</w:t>
      </w:r>
      <w:bookmarkEnd w:id="5"/>
      <w:r>
        <w:rPr>
          <w:rFonts w:asciiTheme="majorBidi" w:hAnsiTheme="majorBidi" w:cstheme="majorBidi"/>
          <w:sz w:val="22"/>
          <w:szCs w:val="22"/>
        </w:rPr>
        <w:t xml:space="preserve"> </w:t>
      </w:r>
    </w:p>
    <w:p w14:paraId="5F3C8AED" w14:textId="44CF1101" w:rsidR="006F7614" w:rsidRPr="00260BF2" w:rsidRDefault="006F7614" w:rsidP="006F7614">
      <w:pPr>
        <w:jc w:val="center"/>
      </w:pPr>
      <w:r w:rsidRPr="0012626E">
        <w:rPr>
          <w:rFonts w:asciiTheme="majorBidi" w:hAnsiTheme="majorBidi" w:cstheme="majorBidi"/>
          <w:noProof/>
        </w:rPr>
        <mc:AlternateContent>
          <mc:Choice Requires="wps">
            <w:drawing>
              <wp:anchor distT="0" distB="0" distL="114300" distR="114300" simplePos="0" relativeHeight="251666432" behindDoc="0" locked="0" layoutInCell="1" allowOverlap="1" wp14:anchorId="0579AD04" wp14:editId="70766680">
                <wp:simplePos x="0" y="0"/>
                <wp:positionH relativeFrom="margin">
                  <wp:posOffset>304800</wp:posOffset>
                </wp:positionH>
                <wp:positionV relativeFrom="paragraph">
                  <wp:posOffset>729262</wp:posOffset>
                </wp:positionV>
                <wp:extent cx="5413375" cy="635"/>
                <wp:effectExtent l="0" t="0" r="0" b="0"/>
                <wp:wrapSquare wrapText="bothSides"/>
                <wp:docPr id="681277057" name="Text Box 1"/>
                <wp:cNvGraphicFramePr/>
                <a:graphic xmlns:a="http://schemas.openxmlformats.org/drawingml/2006/main">
                  <a:graphicData uri="http://schemas.microsoft.com/office/word/2010/wordprocessingShape">
                    <wps:wsp>
                      <wps:cNvSpPr txBox="1"/>
                      <wps:spPr>
                        <a:xfrm>
                          <a:off x="0" y="0"/>
                          <a:ext cx="5413375" cy="635"/>
                        </a:xfrm>
                        <a:prstGeom prst="rect">
                          <a:avLst/>
                        </a:prstGeom>
                        <a:solidFill>
                          <a:prstClr val="white"/>
                        </a:solidFill>
                        <a:ln>
                          <a:noFill/>
                        </a:ln>
                      </wps:spPr>
                      <wps:txbx>
                        <w:txbxContent>
                          <w:p w14:paraId="7FD03239" w14:textId="21CBB3A6" w:rsidR="006F7614" w:rsidRPr="00260BF2" w:rsidRDefault="006F7614" w:rsidP="006F7614">
                            <w:pPr>
                              <w:pStyle w:val="Caption"/>
                              <w:rPr>
                                <w:noProof/>
                                <w:sz w:val="24"/>
                                <w:szCs w:val="24"/>
                              </w:rPr>
                            </w:pPr>
                            <w:bookmarkStart w:id="6" w:name="_Ref216484542"/>
                            <w:bookmarkStart w:id="7" w:name="_Ref219055840"/>
                            <w:r w:rsidRPr="00260BF2">
                              <w:rPr>
                                <w:sz w:val="20"/>
                                <w:szCs w:val="20"/>
                              </w:rPr>
                              <w:t xml:space="preserve">Figure </w:t>
                            </w:r>
                            <w:r w:rsidRPr="00260BF2">
                              <w:rPr>
                                <w:sz w:val="20"/>
                                <w:szCs w:val="20"/>
                              </w:rPr>
                              <w:fldChar w:fldCharType="begin"/>
                            </w:r>
                            <w:r w:rsidRPr="00260BF2">
                              <w:rPr>
                                <w:sz w:val="20"/>
                                <w:szCs w:val="20"/>
                              </w:rPr>
                              <w:instrText xml:space="preserve"> SEQ Figure \* ARABIC </w:instrText>
                            </w:r>
                            <w:r w:rsidRPr="00260BF2">
                              <w:rPr>
                                <w:sz w:val="20"/>
                                <w:szCs w:val="20"/>
                              </w:rPr>
                              <w:fldChar w:fldCharType="separate"/>
                            </w:r>
                            <w:r w:rsidR="001E374B">
                              <w:rPr>
                                <w:noProof/>
                                <w:sz w:val="20"/>
                                <w:szCs w:val="20"/>
                              </w:rPr>
                              <w:t>4</w:t>
                            </w:r>
                            <w:r w:rsidRPr="00260BF2">
                              <w:rPr>
                                <w:noProof/>
                                <w:sz w:val="20"/>
                                <w:szCs w:val="20"/>
                              </w:rPr>
                              <w:fldChar w:fldCharType="end"/>
                            </w:r>
                            <w:bookmarkEnd w:id="6"/>
                            <w:r w:rsidRPr="00260BF2">
                              <w:rPr>
                                <w:sz w:val="20"/>
                                <w:szCs w:val="20"/>
                              </w:rPr>
                              <w:t>:</w:t>
                            </w:r>
                            <w:r>
                              <w:rPr>
                                <w:sz w:val="20"/>
                                <w:szCs w:val="20"/>
                              </w:rPr>
                              <w:t xml:space="preserve"> </w:t>
                            </w:r>
                            <w:r w:rsidRPr="00260BF2">
                              <w:rPr>
                                <w:sz w:val="20"/>
                                <w:szCs w:val="20"/>
                              </w:rPr>
                              <w:t>Confusion matrix for the Support Vector Classifier</w:t>
                            </w:r>
                            <w:r>
                              <w:rPr>
                                <w:sz w:val="20"/>
                                <w:szCs w:val="20"/>
                              </w:rPr>
                              <w:t>,</w:t>
                            </w:r>
                            <w:r w:rsidRPr="00260BF2">
                              <w:rPr>
                                <w:sz w:val="20"/>
                                <w:szCs w:val="20"/>
                              </w:rPr>
                              <w:t xml:space="preserve"> highlighting improved ADR case detection compared with Logistic Regression.</w:t>
                            </w:r>
                            <w:bookmarkEnd w:id="7"/>
                            <w:r w:rsidRPr="00260BF2">
                              <w:rPr>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79AD04" id="_x0000_s1027" type="#_x0000_t202" style="position:absolute;left:0;text-align:left;margin-left:24pt;margin-top:57.4pt;width:426.25pt;height:.0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J2W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LOPk6m008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" stroked="f">
                <v:textbox style="mso-fit-shape-to-text:t" inset="0,0,0,0">
                  <w:txbxContent>
                    <w:p w14:paraId="7FD03239" w14:textId="21CBB3A6" w:rsidR="006F7614" w:rsidRPr="00260BF2" w:rsidRDefault="006F7614" w:rsidP="006F7614">
                      <w:pPr>
                        <w:pStyle w:val="Caption"/>
                        <w:rPr>
                          <w:noProof/>
                          <w:sz w:val="24"/>
                          <w:szCs w:val="24"/>
                        </w:rPr>
                      </w:pPr>
                      <w:bookmarkStart w:id="9" w:name="_Ref216484542"/>
                      <w:bookmarkStart w:id="10" w:name="_Ref219055840"/>
                      <w:r w:rsidRPr="00260BF2">
                        <w:rPr>
                          <w:sz w:val="20"/>
                          <w:szCs w:val="20"/>
                        </w:rPr>
                        <w:t xml:space="preserve">Figure </w:t>
                      </w:r>
                      <w:r w:rsidRPr="00260BF2">
                        <w:rPr>
                          <w:sz w:val="20"/>
                          <w:szCs w:val="20"/>
                        </w:rPr>
                        <w:fldChar w:fldCharType="begin"/>
                      </w:r>
                      <w:r w:rsidRPr="00260BF2">
                        <w:rPr>
                          <w:sz w:val="20"/>
                          <w:szCs w:val="20"/>
                        </w:rPr>
                        <w:instrText xml:space="preserve"> SEQ Figure \* ARABIC </w:instrText>
                      </w:r>
                      <w:r w:rsidRPr="00260BF2">
                        <w:rPr>
                          <w:sz w:val="20"/>
                          <w:szCs w:val="20"/>
                        </w:rPr>
                        <w:fldChar w:fldCharType="separate"/>
                      </w:r>
                      <w:r w:rsidR="001E374B">
                        <w:rPr>
                          <w:noProof/>
                          <w:sz w:val="20"/>
                          <w:szCs w:val="20"/>
                        </w:rPr>
                        <w:t>4</w:t>
                      </w:r>
                      <w:r w:rsidRPr="00260BF2">
                        <w:rPr>
                          <w:noProof/>
                          <w:sz w:val="20"/>
                          <w:szCs w:val="20"/>
                        </w:rPr>
                        <w:fldChar w:fldCharType="end"/>
                      </w:r>
                      <w:bookmarkEnd w:id="9"/>
                      <w:r w:rsidRPr="00260BF2">
                        <w:rPr>
                          <w:sz w:val="20"/>
                          <w:szCs w:val="20"/>
                        </w:rPr>
                        <w:t>:</w:t>
                      </w:r>
                      <w:r>
                        <w:rPr>
                          <w:sz w:val="20"/>
                          <w:szCs w:val="20"/>
                        </w:rPr>
                        <w:t xml:space="preserve"> </w:t>
                      </w:r>
                      <w:r w:rsidRPr="00260BF2">
                        <w:rPr>
                          <w:sz w:val="20"/>
                          <w:szCs w:val="20"/>
                        </w:rPr>
                        <w:t>Confusion matrix for the Support Vector Classifier</w:t>
                      </w:r>
                      <w:r>
                        <w:rPr>
                          <w:sz w:val="20"/>
                          <w:szCs w:val="20"/>
                        </w:rPr>
                        <w:t>,</w:t>
                      </w:r>
                      <w:r w:rsidRPr="00260BF2">
                        <w:rPr>
                          <w:sz w:val="20"/>
                          <w:szCs w:val="20"/>
                        </w:rPr>
                        <w:t xml:space="preserve"> highlighting improved ADR case detection compared with Logistic Regression.</w:t>
                      </w:r>
                      <w:bookmarkEnd w:id="10"/>
                      <w:r w:rsidRPr="00260BF2">
                        <w:rPr>
                          <w:sz w:val="20"/>
                          <w:szCs w:val="20"/>
                        </w:rPr>
                        <w:t xml:space="preserve"> </w:t>
                      </w:r>
                    </w:p>
                  </w:txbxContent>
                </v:textbox>
                <w10:wrap type="square" anchorx="margin"/>
              </v:shape>
            </w:pict>
          </mc:Fallback>
        </mc:AlternateContent>
      </w:r>
      <w:r w:rsidRPr="001463B8">
        <w:rPr>
          <w:rFonts w:asciiTheme="majorBidi" w:hAnsiTheme="majorBidi" w:cstheme="majorBidi"/>
          <w:noProof/>
        </w:rPr>
        <w:drawing>
          <wp:inline distT="0" distB="0" distL="0" distR="0" wp14:anchorId="1CBA0B32" wp14:editId="284C3F1A">
            <wp:extent cx="1308100" cy="660400"/>
            <wp:effectExtent l="0" t="0" r="0" b="0"/>
            <wp:docPr id="361128992"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8992" name="Picture 1" descr="A number on a white background&#10;&#10;AI-generated content may be incorrect."/>
                    <pic:cNvPicPr/>
                  </pic:nvPicPr>
                  <pic:blipFill>
                    <a:blip r:embed="rId9"/>
                    <a:stretch>
                      <a:fillRect/>
                    </a:stretch>
                  </pic:blipFill>
                  <pic:spPr>
                    <a:xfrm>
                      <a:off x="0" y="0"/>
                      <a:ext cx="1308100" cy="660400"/>
                    </a:xfrm>
                    <a:prstGeom prst="rect">
                      <a:avLst/>
                    </a:prstGeom>
                  </pic:spPr>
                </pic:pic>
              </a:graphicData>
            </a:graphic>
          </wp:inline>
        </w:drawing>
      </w:r>
    </w:p>
    <w:p w14:paraId="30AA82DC" w14:textId="083A3597" w:rsidR="006F7614" w:rsidRPr="00872F79" w:rsidRDefault="006F7614" w:rsidP="00C8026D">
      <w:pPr>
        <w:pStyle w:val="ListParagraph"/>
        <w:numPr>
          <w:ilvl w:val="1"/>
          <w:numId w:val="3"/>
        </w:numPr>
        <w:spacing w:line="360" w:lineRule="auto"/>
        <w:rPr>
          <w:rFonts w:asciiTheme="majorBidi" w:hAnsiTheme="majorBidi" w:cstheme="majorBidi"/>
          <w:kern w:val="0"/>
          <w:u w:val="single"/>
          <w14:ligatures w14:val="none"/>
        </w:rPr>
      </w:pPr>
      <w:r w:rsidRPr="00872F79">
        <w:rPr>
          <w:rFonts w:asciiTheme="majorBidi" w:hAnsiTheme="majorBidi" w:cstheme="majorBidi"/>
          <w:kern w:val="0"/>
          <w:u w:val="single"/>
          <w14:ligatures w14:val="none"/>
        </w:rPr>
        <w:t xml:space="preserve">Comparative Model Performance </w:t>
      </w:r>
    </w:p>
    <w:p w14:paraId="186B06D2" w14:textId="28FFFA48" w:rsidR="006F7614" w:rsidRDefault="006F7614" w:rsidP="006F7614">
      <w:pPr>
        <w:spacing w:line="360" w:lineRule="auto"/>
        <w:rPr>
          <w:rFonts w:asciiTheme="majorBidi" w:hAnsiTheme="majorBidi" w:cstheme="majorBidi"/>
          <w:kern w:val="0"/>
          <w14:ligatures w14:val="none"/>
        </w:rPr>
      </w:pPr>
      <w:r>
        <w:rPr>
          <w:rFonts w:asciiTheme="majorBidi" w:hAnsiTheme="majorBidi" w:cstheme="majorBidi"/>
          <w:kern w:val="0"/>
          <w14:ligatures w14:val="none"/>
        </w:rPr>
        <w:t xml:space="preserve">A comparative summary of model performance across clinically relevant metrics is provided in Table 4. As shown, the SVC outperformed LR in recall and F1-score for ADR cases and achieved marginally higher overall accuracy. These results indicate that the SVC offers improved sensitivity for ADR without loss of specificity </w:t>
      </w:r>
    </w:p>
    <w:p w14:paraId="5CF1520C" w14:textId="77777777" w:rsidR="006F7614" w:rsidRPr="0008015A" w:rsidRDefault="006F7614" w:rsidP="006F7614">
      <w:pPr>
        <w:pStyle w:val="Caption"/>
        <w:keepNext/>
        <w:rPr>
          <w:color w:val="000000" w:themeColor="text1"/>
        </w:rPr>
      </w:pPr>
      <w:bookmarkStart w:id="8" w:name="_Ref216482235"/>
      <w:r w:rsidRPr="0008015A">
        <w:rPr>
          <w:color w:val="000000" w:themeColor="text1"/>
        </w:rPr>
        <w:t>Table</w:t>
      </w:r>
      <w:bookmarkEnd w:id="8"/>
      <w:r w:rsidRPr="0008015A">
        <w:rPr>
          <w:color w:val="000000" w:themeColor="text1"/>
        </w:rPr>
        <w:t xml:space="preserve"> 4: Comparative performance of LR and SVC across clinically relevant evaluation metrics for ADR prediction.</w:t>
      </w:r>
    </w:p>
    <w:p w14:paraId="30E57332" w14:textId="77777777" w:rsidR="006F7614" w:rsidRPr="0012626E" w:rsidRDefault="006F7614" w:rsidP="006F7614">
      <w:pPr>
        <w:spacing w:line="360" w:lineRule="auto"/>
        <w:rPr>
          <w:rFonts w:asciiTheme="majorBidi" w:hAnsiTheme="majorBidi" w:cstheme="majorBidi"/>
        </w:rPr>
      </w:pPr>
    </w:p>
    <w:tbl>
      <w:tblPr>
        <w:tblStyle w:val="TableGrid"/>
        <w:tblpPr w:leftFromText="180" w:rightFromText="180" w:vertAnchor="text" w:horzAnchor="margin" w:tblpY="-228"/>
        <w:tblW w:w="0" w:type="auto"/>
        <w:tblLook w:val="04A0" w:firstRow="1" w:lastRow="0" w:firstColumn="1" w:lastColumn="0" w:noHBand="0" w:noVBand="1"/>
      </w:tblPr>
      <w:tblGrid>
        <w:gridCol w:w="3005"/>
        <w:gridCol w:w="3005"/>
        <w:gridCol w:w="3006"/>
      </w:tblGrid>
      <w:tr w:rsidR="006F7614" w:rsidRPr="0008015A" w14:paraId="4CCDF3F7" w14:textId="77777777" w:rsidTr="006A7DE6">
        <w:tc>
          <w:tcPr>
            <w:tcW w:w="3005" w:type="dxa"/>
          </w:tcPr>
          <w:p w14:paraId="6D812106" w14:textId="77777777" w:rsidR="006F7614" w:rsidRPr="0008015A" w:rsidRDefault="006F7614" w:rsidP="006A7DE6">
            <w:pPr>
              <w:rPr>
                <w:color w:val="000000" w:themeColor="text1"/>
              </w:rPr>
            </w:pPr>
            <w:r w:rsidRPr="0008015A">
              <w:rPr>
                <w:color w:val="000000" w:themeColor="text1"/>
              </w:rPr>
              <w:t>Metric (1= ADR)</w:t>
            </w:r>
          </w:p>
        </w:tc>
        <w:tc>
          <w:tcPr>
            <w:tcW w:w="3005" w:type="dxa"/>
          </w:tcPr>
          <w:p w14:paraId="0DDCD78C" w14:textId="77777777" w:rsidR="006F7614" w:rsidRPr="0008015A" w:rsidRDefault="006F7614" w:rsidP="006A7DE6">
            <w:pPr>
              <w:rPr>
                <w:color w:val="000000" w:themeColor="text1"/>
              </w:rPr>
            </w:pPr>
            <w:r w:rsidRPr="0008015A">
              <w:rPr>
                <w:color w:val="000000" w:themeColor="text1"/>
              </w:rPr>
              <w:t>Logistic Regression</w:t>
            </w:r>
          </w:p>
        </w:tc>
        <w:tc>
          <w:tcPr>
            <w:tcW w:w="3006" w:type="dxa"/>
          </w:tcPr>
          <w:p w14:paraId="6C45CCC8" w14:textId="77777777" w:rsidR="006F7614" w:rsidRPr="0008015A" w:rsidRDefault="006F7614" w:rsidP="006A7DE6">
            <w:pPr>
              <w:rPr>
                <w:color w:val="000000" w:themeColor="text1"/>
              </w:rPr>
            </w:pPr>
            <w:r w:rsidRPr="0008015A">
              <w:rPr>
                <w:color w:val="000000" w:themeColor="text1"/>
              </w:rPr>
              <w:t>SVC(Best)</w:t>
            </w:r>
          </w:p>
        </w:tc>
      </w:tr>
      <w:tr w:rsidR="006F7614" w:rsidRPr="0008015A" w14:paraId="0AA68752" w14:textId="77777777" w:rsidTr="006A7DE6">
        <w:tc>
          <w:tcPr>
            <w:tcW w:w="3005" w:type="dxa"/>
          </w:tcPr>
          <w:p w14:paraId="1415265F" w14:textId="77777777" w:rsidR="006F7614" w:rsidRPr="0008015A" w:rsidRDefault="006F7614" w:rsidP="006A7DE6">
            <w:pPr>
              <w:rPr>
                <w:color w:val="000000" w:themeColor="text1"/>
              </w:rPr>
            </w:pPr>
            <w:r w:rsidRPr="0008015A">
              <w:rPr>
                <w:color w:val="000000" w:themeColor="text1"/>
              </w:rPr>
              <w:t>ADR Precision</w:t>
            </w:r>
          </w:p>
        </w:tc>
        <w:tc>
          <w:tcPr>
            <w:tcW w:w="3005" w:type="dxa"/>
          </w:tcPr>
          <w:p w14:paraId="0A6DC39C" w14:textId="77777777" w:rsidR="006F7614" w:rsidRPr="0008015A" w:rsidRDefault="006F7614" w:rsidP="006A7DE6">
            <w:pPr>
              <w:rPr>
                <w:color w:val="000000" w:themeColor="text1"/>
              </w:rPr>
            </w:pPr>
            <w:r w:rsidRPr="0008015A">
              <w:rPr>
                <w:color w:val="000000" w:themeColor="text1"/>
              </w:rPr>
              <w:t>0.54</w:t>
            </w:r>
          </w:p>
        </w:tc>
        <w:tc>
          <w:tcPr>
            <w:tcW w:w="3006" w:type="dxa"/>
          </w:tcPr>
          <w:p w14:paraId="2FF5FAE2" w14:textId="77777777" w:rsidR="006F7614" w:rsidRPr="0008015A" w:rsidRDefault="006F7614" w:rsidP="006A7DE6">
            <w:pPr>
              <w:rPr>
                <w:color w:val="000000" w:themeColor="text1"/>
              </w:rPr>
            </w:pPr>
            <w:r w:rsidRPr="0008015A">
              <w:rPr>
                <w:color w:val="000000" w:themeColor="text1"/>
              </w:rPr>
              <w:t>0.56</w:t>
            </w:r>
          </w:p>
        </w:tc>
      </w:tr>
      <w:tr w:rsidR="006F7614" w:rsidRPr="0008015A" w14:paraId="3A6D718A" w14:textId="77777777" w:rsidTr="006A7DE6">
        <w:tc>
          <w:tcPr>
            <w:tcW w:w="3005" w:type="dxa"/>
          </w:tcPr>
          <w:p w14:paraId="31A218C0" w14:textId="77777777" w:rsidR="006F7614" w:rsidRPr="0008015A" w:rsidRDefault="006F7614" w:rsidP="006A7DE6">
            <w:pPr>
              <w:rPr>
                <w:color w:val="000000" w:themeColor="text1"/>
              </w:rPr>
            </w:pPr>
            <w:r w:rsidRPr="0008015A">
              <w:rPr>
                <w:color w:val="000000" w:themeColor="text1"/>
              </w:rPr>
              <w:t>ADR Recall</w:t>
            </w:r>
          </w:p>
        </w:tc>
        <w:tc>
          <w:tcPr>
            <w:tcW w:w="3005" w:type="dxa"/>
          </w:tcPr>
          <w:p w14:paraId="329C4DED" w14:textId="77777777" w:rsidR="006F7614" w:rsidRPr="0008015A" w:rsidRDefault="006F7614" w:rsidP="006A7DE6">
            <w:pPr>
              <w:rPr>
                <w:color w:val="000000" w:themeColor="text1"/>
              </w:rPr>
            </w:pPr>
            <w:r w:rsidRPr="0008015A">
              <w:rPr>
                <w:color w:val="000000" w:themeColor="text1"/>
              </w:rPr>
              <w:t>0.64</w:t>
            </w:r>
          </w:p>
        </w:tc>
        <w:tc>
          <w:tcPr>
            <w:tcW w:w="3006" w:type="dxa"/>
          </w:tcPr>
          <w:p w14:paraId="31663E36" w14:textId="77777777" w:rsidR="006F7614" w:rsidRPr="0008015A" w:rsidRDefault="006F7614" w:rsidP="006A7DE6">
            <w:pPr>
              <w:rPr>
                <w:color w:val="000000" w:themeColor="text1"/>
              </w:rPr>
            </w:pPr>
            <w:r w:rsidRPr="0008015A">
              <w:rPr>
                <w:color w:val="000000" w:themeColor="text1"/>
              </w:rPr>
              <w:t>0.65</w:t>
            </w:r>
          </w:p>
        </w:tc>
      </w:tr>
      <w:tr w:rsidR="006F7614" w:rsidRPr="0008015A" w14:paraId="74407210" w14:textId="77777777" w:rsidTr="006A7DE6">
        <w:tc>
          <w:tcPr>
            <w:tcW w:w="3005" w:type="dxa"/>
          </w:tcPr>
          <w:p w14:paraId="13A97F65" w14:textId="77777777" w:rsidR="006F7614" w:rsidRPr="0008015A" w:rsidRDefault="006F7614" w:rsidP="006A7DE6">
            <w:pPr>
              <w:rPr>
                <w:color w:val="000000" w:themeColor="text1"/>
              </w:rPr>
            </w:pPr>
            <w:r w:rsidRPr="0008015A">
              <w:rPr>
                <w:color w:val="000000" w:themeColor="text1"/>
              </w:rPr>
              <w:t>ADR F1-score</w:t>
            </w:r>
          </w:p>
        </w:tc>
        <w:tc>
          <w:tcPr>
            <w:tcW w:w="3005" w:type="dxa"/>
          </w:tcPr>
          <w:p w14:paraId="68890B5F" w14:textId="77777777" w:rsidR="006F7614" w:rsidRPr="0008015A" w:rsidRDefault="006F7614" w:rsidP="006A7DE6">
            <w:pPr>
              <w:rPr>
                <w:color w:val="000000" w:themeColor="text1"/>
              </w:rPr>
            </w:pPr>
            <w:r w:rsidRPr="0008015A">
              <w:rPr>
                <w:color w:val="000000" w:themeColor="text1"/>
              </w:rPr>
              <w:t>0.58</w:t>
            </w:r>
          </w:p>
        </w:tc>
        <w:tc>
          <w:tcPr>
            <w:tcW w:w="3006" w:type="dxa"/>
          </w:tcPr>
          <w:p w14:paraId="6C8638DD" w14:textId="77777777" w:rsidR="006F7614" w:rsidRPr="0008015A" w:rsidRDefault="006F7614" w:rsidP="006A7DE6">
            <w:pPr>
              <w:rPr>
                <w:color w:val="000000" w:themeColor="text1"/>
              </w:rPr>
            </w:pPr>
            <w:r w:rsidRPr="0008015A">
              <w:rPr>
                <w:color w:val="000000" w:themeColor="text1"/>
              </w:rPr>
              <w:t>0.60</w:t>
            </w:r>
          </w:p>
        </w:tc>
      </w:tr>
      <w:tr w:rsidR="006F7614" w:rsidRPr="0008015A" w14:paraId="25F61CDF" w14:textId="77777777" w:rsidTr="006A7DE6">
        <w:tc>
          <w:tcPr>
            <w:tcW w:w="3005" w:type="dxa"/>
          </w:tcPr>
          <w:p w14:paraId="6764D2B6" w14:textId="77777777" w:rsidR="006F7614" w:rsidRPr="0008015A" w:rsidRDefault="006F7614" w:rsidP="006A7DE6">
            <w:pPr>
              <w:rPr>
                <w:color w:val="000000" w:themeColor="text1"/>
              </w:rPr>
            </w:pPr>
            <w:r w:rsidRPr="0008015A">
              <w:rPr>
                <w:color w:val="000000" w:themeColor="text1"/>
              </w:rPr>
              <w:t>Accuracy</w:t>
            </w:r>
          </w:p>
        </w:tc>
        <w:tc>
          <w:tcPr>
            <w:tcW w:w="3005" w:type="dxa"/>
          </w:tcPr>
          <w:p w14:paraId="21F4768C" w14:textId="77777777" w:rsidR="006F7614" w:rsidRPr="0008015A" w:rsidRDefault="006F7614" w:rsidP="006A7DE6">
            <w:pPr>
              <w:rPr>
                <w:color w:val="000000" w:themeColor="text1"/>
              </w:rPr>
            </w:pPr>
            <w:r w:rsidRPr="0008015A">
              <w:rPr>
                <w:color w:val="000000" w:themeColor="text1"/>
              </w:rPr>
              <w:t>0.69</w:t>
            </w:r>
          </w:p>
        </w:tc>
        <w:tc>
          <w:tcPr>
            <w:tcW w:w="3006" w:type="dxa"/>
          </w:tcPr>
          <w:p w14:paraId="3A7497F3" w14:textId="77777777" w:rsidR="006F7614" w:rsidRPr="0008015A" w:rsidRDefault="006F7614" w:rsidP="006A7DE6">
            <w:pPr>
              <w:rPr>
                <w:color w:val="000000" w:themeColor="text1"/>
              </w:rPr>
            </w:pPr>
            <w:r w:rsidRPr="0008015A">
              <w:rPr>
                <w:color w:val="000000" w:themeColor="text1"/>
              </w:rPr>
              <w:t>0.71</w:t>
            </w:r>
          </w:p>
        </w:tc>
      </w:tr>
    </w:tbl>
    <w:p w14:paraId="5C6822CE" w14:textId="77777777" w:rsidR="00C8026D" w:rsidRDefault="00C8026D" w:rsidP="00C8026D">
      <w:pPr>
        <w:spacing w:line="360" w:lineRule="auto"/>
        <w:rPr>
          <w:rFonts w:asciiTheme="majorBidi" w:hAnsiTheme="majorBidi" w:cstheme="majorBidi"/>
          <w:b/>
          <w:bCs/>
        </w:rPr>
      </w:pPr>
    </w:p>
    <w:p w14:paraId="3A2DB8B6" w14:textId="269C0FDF" w:rsidR="006F7614" w:rsidRPr="00872F79" w:rsidRDefault="006F7614" w:rsidP="00C8026D">
      <w:pPr>
        <w:pStyle w:val="ListParagraph"/>
        <w:numPr>
          <w:ilvl w:val="1"/>
          <w:numId w:val="3"/>
        </w:numPr>
        <w:spacing w:line="360" w:lineRule="auto"/>
        <w:rPr>
          <w:rFonts w:asciiTheme="majorBidi" w:hAnsiTheme="majorBidi" w:cstheme="majorBidi"/>
          <w:u w:val="single"/>
        </w:rPr>
      </w:pPr>
      <w:r w:rsidRPr="00872F79">
        <w:rPr>
          <w:rFonts w:asciiTheme="majorBidi" w:hAnsiTheme="majorBidi" w:cstheme="majorBidi"/>
          <w:u w:val="single"/>
        </w:rPr>
        <w:lastRenderedPageBreak/>
        <w:t xml:space="preserve">Receiver Operating Characteristic (ROC) Analysis </w:t>
      </w:r>
    </w:p>
    <w:p w14:paraId="0713E12F" w14:textId="172A9A23" w:rsidR="006F7614" w:rsidRDefault="006F7614" w:rsidP="006F7614">
      <w:pPr>
        <w:spacing w:line="360" w:lineRule="auto"/>
        <w:rPr>
          <w:rFonts w:asciiTheme="majorBidi" w:hAnsiTheme="majorBidi" w:cstheme="majorBidi"/>
        </w:rPr>
      </w:pPr>
      <w:r>
        <w:rPr>
          <w:rFonts w:asciiTheme="majorBidi" w:hAnsiTheme="majorBidi" w:cstheme="majorBidi"/>
          <w:kern w:val="0"/>
          <w14:ligatures w14:val="none"/>
        </w:rPr>
        <w:t>The ROC curves for the models are shown in Figures 10 and 11.</w:t>
      </w:r>
      <w:r>
        <w:rPr>
          <w:rFonts w:asciiTheme="majorBidi" w:hAnsiTheme="majorBidi" w:cstheme="majorBidi"/>
        </w:rPr>
        <w:t xml:space="preserve"> LR and SVC achieved similar ROC-AUC scores (0.713 and 0.711), indicating comparable discrimination across the decision thresholds. Despite similar global discriminative ability, threshold-dependent metrics showed differences in clinical performance, with the SVC achieving higher recall and F1-score for ADR cases.</w:t>
      </w:r>
    </w:p>
    <w:p w14:paraId="20B26AFE" w14:textId="77777777" w:rsidR="006F7614" w:rsidRPr="00260BF2" w:rsidRDefault="006F7614" w:rsidP="006F7614">
      <w:pPr>
        <w:spacing w:line="360" w:lineRule="auto"/>
        <w:jc w:val="center"/>
        <w:rPr>
          <w:rFonts w:asciiTheme="majorBidi" w:hAnsiTheme="majorBidi" w:cstheme="majorBidi"/>
        </w:rPr>
      </w:pPr>
      <w:r>
        <w:rPr>
          <w:noProof/>
        </w:rPr>
        <mc:AlternateContent>
          <mc:Choice Requires="wps">
            <w:drawing>
              <wp:anchor distT="0" distB="0" distL="114300" distR="114300" simplePos="0" relativeHeight="251661312" behindDoc="0" locked="0" layoutInCell="1" allowOverlap="1" wp14:anchorId="101D9C4B" wp14:editId="5B01A689">
                <wp:simplePos x="0" y="0"/>
                <wp:positionH relativeFrom="column">
                  <wp:posOffset>191912</wp:posOffset>
                </wp:positionH>
                <wp:positionV relativeFrom="paragraph">
                  <wp:posOffset>2404251</wp:posOffset>
                </wp:positionV>
                <wp:extent cx="5731510" cy="635"/>
                <wp:effectExtent l="0" t="0" r="0" b="0"/>
                <wp:wrapSquare wrapText="bothSides"/>
                <wp:docPr id="76163720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39ACC7B" w14:textId="38CE8E8F" w:rsidR="006F7614" w:rsidRPr="009255E9" w:rsidRDefault="006F7614" w:rsidP="006F7614">
                            <w:pPr>
                              <w:pStyle w:val="Caption"/>
                              <w:rPr>
                                <w:sz w:val="22"/>
                                <w:szCs w:val="22"/>
                              </w:rPr>
                            </w:pPr>
                            <w:r>
                              <w:t xml:space="preserve">Figure </w:t>
                            </w:r>
                            <w:r>
                              <w:fldChar w:fldCharType="begin"/>
                            </w:r>
                            <w:r>
                              <w:instrText xml:space="preserve"> SEQ Figure \* ARABIC </w:instrText>
                            </w:r>
                            <w:r>
                              <w:fldChar w:fldCharType="separate"/>
                            </w:r>
                            <w:r w:rsidR="001E374B">
                              <w:rPr>
                                <w:noProof/>
                              </w:rPr>
                              <w:t>5</w:t>
                            </w:r>
                            <w:r>
                              <w:rPr>
                                <w:noProof/>
                              </w:rPr>
                              <w:fldChar w:fldCharType="end"/>
                            </w:r>
                            <w:r>
                              <w:t xml:space="preserve">:Receiver operating characteristic (ROC) curve for the Logistic Regression ADR prediction model evaluated on the independent </w:t>
                            </w:r>
                            <w:r w:rsidRPr="001B7583">
                              <w:t xml:space="preserve">test set (ROC–AUC = </w:t>
                            </w:r>
                            <w:r>
                              <w:t>713</w:t>
                            </w:r>
                            <w:r w:rsidRPr="001B7583">
                              <w:t>), demonstrating comparable global discrimination to the SVC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D9C4B" id="_x0000_s1028" type="#_x0000_t202" style="position:absolute;left:0;text-align:left;margin-left:15.1pt;margin-top:189.3pt;width:451.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" stroked="f">
                <v:textbox style="mso-fit-shape-to-text:t" inset="0,0,0,0">
                  <w:txbxContent>
                    <w:p w14:paraId="039ACC7B" w14:textId="38CE8E8F" w:rsidR="006F7614" w:rsidRPr="009255E9" w:rsidRDefault="006F7614" w:rsidP="006F7614">
                      <w:pPr>
                        <w:pStyle w:val="Caption"/>
                        <w:rPr>
                          <w:sz w:val="22"/>
                          <w:szCs w:val="22"/>
                        </w:rPr>
                      </w:pPr>
                      <w:r>
                        <w:t xml:space="preserve">Figure </w:t>
                      </w:r>
                      <w:r>
                        <w:fldChar w:fldCharType="begin"/>
                      </w:r>
                      <w:r>
                        <w:instrText xml:space="preserve"> SEQ Figure \* ARABIC </w:instrText>
                      </w:r>
                      <w:r>
                        <w:fldChar w:fldCharType="separate"/>
                      </w:r>
                      <w:r w:rsidR="001E374B">
                        <w:rPr>
                          <w:noProof/>
                        </w:rPr>
                        <w:t>5</w:t>
                      </w:r>
                      <w:r>
                        <w:rPr>
                          <w:noProof/>
                        </w:rPr>
                        <w:fldChar w:fldCharType="end"/>
                      </w:r>
                      <w:r>
                        <w:t xml:space="preserve">:Receiver operating characteristic (ROC) curve for the Logistic Regression ADR prediction model evaluated on the independent </w:t>
                      </w:r>
                      <w:r w:rsidRPr="001B7583">
                        <w:t xml:space="preserve">test set (ROC–AUC = </w:t>
                      </w:r>
                      <w:r>
                        <w:t>713</w:t>
                      </w:r>
                      <w:r w:rsidRPr="001B7583">
                        <w:t>), demonstrating comparable global discrimination to the SVC model.</w:t>
                      </w:r>
                    </w:p>
                  </w:txbxContent>
                </v:textbox>
                <w10:wrap type="square"/>
              </v:shape>
            </w:pict>
          </mc:Fallback>
        </mc:AlternateContent>
      </w:r>
      <w:r w:rsidRPr="00A46DEB">
        <w:rPr>
          <w:noProof/>
        </w:rPr>
        <w:drawing>
          <wp:inline distT="0" distB="0" distL="0" distR="0" wp14:anchorId="695EC5EF" wp14:editId="73DC5ECD">
            <wp:extent cx="2943483" cy="2323871"/>
            <wp:effectExtent l="0" t="0" r="3175" b="635"/>
            <wp:docPr id="177924832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48328" name="Picture 1" descr="A graph of a curve&#10;&#10;AI-generated content may be incorrect."/>
                    <pic:cNvPicPr/>
                  </pic:nvPicPr>
                  <pic:blipFill>
                    <a:blip r:embed="rId10"/>
                    <a:stretch>
                      <a:fillRect/>
                    </a:stretch>
                  </pic:blipFill>
                  <pic:spPr>
                    <a:xfrm>
                      <a:off x="0" y="0"/>
                      <a:ext cx="2966138" cy="2341757"/>
                    </a:xfrm>
                    <a:prstGeom prst="rect">
                      <a:avLst/>
                    </a:prstGeom>
                  </pic:spPr>
                </pic:pic>
              </a:graphicData>
            </a:graphic>
          </wp:inline>
        </w:drawing>
      </w:r>
    </w:p>
    <w:p w14:paraId="77BF5E79" w14:textId="62FAD7FA" w:rsidR="006F7614" w:rsidRDefault="006F7614" w:rsidP="006F7614">
      <w:pPr>
        <w:spacing w:line="360" w:lineRule="auto"/>
        <w:jc w:val="center"/>
        <w:rPr>
          <w:rFonts w:asciiTheme="majorBidi" w:hAnsiTheme="majorBidi" w:cstheme="majorBidi"/>
        </w:rPr>
      </w:pPr>
      <w:r w:rsidRPr="00A83F7D">
        <w:rPr>
          <w:noProof/>
        </w:rPr>
        <w:drawing>
          <wp:inline distT="0" distB="0" distL="0" distR="0" wp14:anchorId="682DDDC6" wp14:editId="4537615A">
            <wp:extent cx="3233588" cy="2585508"/>
            <wp:effectExtent l="0" t="0" r="5080" b="5715"/>
            <wp:docPr id="15801809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0962" name="Picture 1" descr="A graph with a line&#10;&#10;AI-generated content may be incorrect."/>
                    <pic:cNvPicPr/>
                  </pic:nvPicPr>
                  <pic:blipFill>
                    <a:blip r:embed="rId11"/>
                    <a:stretch>
                      <a:fillRect/>
                    </a:stretch>
                  </pic:blipFill>
                  <pic:spPr>
                    <a:xfrm>
                      <a:off x="0" y="0"/>
                      <a:ext cx="3264812" cy="2610474"/>
                    </a:xfrm>
                    <a:prstGeom prst="rect">
                      <a:avLst/>
                    </a:prstGeom>
                  </pic:spPr>
                </pic:pic>
              </a:graphicData>
            </a:graphic>
          </wp:inline>
        </w:drawing>
      </w:r>
    </w:p>
    <w:p w14:paraId="03983DC0" w14:textId="5F084697" w:rsidR="006F7614" w:rsidRPr="00204099" w:rsidRDefault="006F7614" w:rsidP="006F7614">
      <w:pPr>
        <w:pStyle w:val="Caption"/>
      </w:pPr>
      <w:bookmarkStart w:id="9" w:name="_Ref218951256"/>
      <w:r>
        <w:t xml:space="preserve">Figure </w:t>
      </w:r>
      <w:r>
        <w:fldChar w:fldCharType="begin"/>
      </w:r>
      <w:r>
        <w:instrText xml:space="preserve"> SEQ Figure \* ARABIC </w:instrText>
      </w:r>
      <w:r>
        <w:fldChar w:fldCharType="separate"/>
      </w:r>
      <w:r w:rsidR="001E374B">
        <w:rPr>
          <w:noProof/>
        </w:rPr>
        <w:t>6</w:t>
      </w:r>
      <w:r>
        <w:rPr>
          <w:noProof/>
        </w:rPr>
        <w:fldChar w:fldCharType="end"/>
      </w:r>
      <w:bookmarkEnd w:id="9"/>
      <w:r>
        <w:t>:</w:t>
      </w:r>
      <w:r w:rsidRPr="001B7583">
        <w:rPr>
          <w:i w:val="0"/>
          <w:iCs w:val="0"/>
          <w:color w:val="auto"/>
          <w:sz w:val="22"/>
          <w:szCs w:val="22"/>
        </w:rPr>
        <w:t xml:space="preserve"> </w:t>
      </w:r>
      <w:r w:rsidRPr="001B7583">
        <w:t>Receiver operating characteristic (ROC) curve for the Support Vector Classifier ADR prediction model evaluated on the independent test set (ROC–AUC = 0.</w:t>
      </w:r>
      <w:r>
        <w:t>711</w:t>
      </w:r>
      <w:r w:rsidRPr="001B7583">
        <w:t>), illustrating discriminative performance across decision thresholds.</w:t>
      </w:r>
    </w:p>
    <w:p w14:paraId="0285908C" w14:textId="15B9EB8E" w:rsidR="006F7614" w:rsidRPr="00872F79" w:rsidRDefault="006F7614" w:rsidP="00C8026D">
      <w:pPr>
        <w:pStyle w:val="ListParagraph"/>
        <w:numPr>
          <w:ilvl w:val="1"/>
          <w:numId w:val="3"/>
        </w:numPr>
        <w:spacing w:line="360" w:lineRule="auto"/>
        <w:rPr>
          <w:rFonts w:asciiTheme="majorBidi" w:hAnsiTheme="majorBidi" w:cstheme="majorBidi"/>
          <w:u w:val="single"/>
        </w:rPr>
      </w:pPr>
      <w:r w:rsidRPr="00872F79">
        <w:rPr>
          <w:rFonts w:asciiTheme="majorBidi" w:hAnsiTheme="majorBidi" w:cstheme="majorBidi"/>
          <w:u w:val="single"/>
        </w:rPr>
        <w:t>Explainability</w:t>
      </w:r>
      <w:r w:rsidR="00824B2C">
        <w:rPr>
          <w:rFonts w:asciiTheme="majorBidi" w:hAnsiTheme="majorBidi" w:cstheme="majorBidi"/>
          <w:u w:val="single"/>
        </w:rPr>
        <w:t xml:space="preserve"> of</w:t>
      </w:r>
      <w:r w:rsidRPr="00872F79">
        <w:rPr>
          <w:rFonts w:asciiTheme="majorBidi" w:hAnsiTheme="majorBidi" w:cstheme="majorBidi"/>
          <w:u w:val="single"/>
        </w:rPr>
        <w:t xml:space="preserve"> Results </w:t>
      </w:r>
    </w:p>
    <w:p w14:paraId="5906FB43" w14:textId="41AF8301" w:rsidR="006F7614" w:rsidRPr="00260BF2" w:rsidRDefault="00281C98" w:rsidP="006F7614">
      <w:pPr>
        <w:spacing w:line="360" w:lineRule="auto"/>
        <w:rPr>
          <w:rFonts w:asciiTheme="majorBidi" w:hAnsiTheme="majorBidi" w:cstheme="majorBidi"/>
        </w:rPr>
      </w:pPr>
      <w:r>
        <w:rPr>
          <w:rFonts w:asciiTheme="majorBidi" w:hAnsiTheme="majorBidi" w:cstheme="majorBidi"/>
        </w:rPr>
        <w:t>The u</w:t>
      </w:r>
      <w:r w:rsidR="006F7614" w:rsidRPr="00260BF2">
        <w:rPr>
          <w:rFonts w:asciiTheme="majorBidi" w:hAnsiTheme="majorBidi" w:cstheme="majorBidi"/>
        </w:rPr>
        <w:t xml:space="preserve">niversal feature importance derived from Shapley Additive </w:t>
      </w:r>
      <w:r>
        <w:rPr>
          <w:rFonts w:asciiTheme="majorBidi" w:hAnsiTheme="majorBidi" w:cstheme="majorBidi"/>
        </w:rPr>
        <w:t>E</w:t>
      </w:r>
      <w:r w:rsidR="006F7614" w:rsidRPr="00260BF2">
        <w:rPr>
          <w:rFonts w:asciiTheme="majorBidi" w:hAnsiTheme="majorBidi" w:cstheme="majorBidi"/>
        </w:rPr>
        <w:t>xplanations (SHAP) is illustrated in Figures 12 and 13. The SHAP summary plots identified pharmacological variables</w:t>
      </w:r>
      <w:r>
        <w:rPr>
          <w:rFonts w:asciiTheme="majorBidi" w:hAnsiTheme="majorBidi" w:cstheme="majorBidi"/>
        </w:rPr>
        <w:t xml:space="preserve"> that reflected </w:t>
      </w:r>
      <w:r w:rsidR="006F7614" w:rsidRPr="00260BF2">
        <w:rPr>
          <w:rFonts w:asciiTheme="majorBidi" w:hAnsiTheme="majorBidi" w:cstheme="majorBidi"/>
        </w:rPr>
        <w:lastRenderedPageBreak/>
        <w:t>medication burden, laboratory markers of renal function, and patient age as influential contributors to ADR risk across both models.</w:t>
      </w:r>
    </w:p>
    <w:p w14:paraId="7BE22037" w14:textId="7896558A" w:rsidR="006F7614" w:rsidRDefault="006F7614" w:rsidP="006F7614">
      <w:pPr>
        <w:spacing w:line="360" w:lineRule="auto"/>
        <w:rPr>
          <w:rFonts w:asciiTheme="majorBidi" w:hAnsiTheme="majorBidi" w:cstheme="majorBidi"/>
        </w:rPr>
      </w:pPr>
      <w:r w:rsidRPr="00260BF2">
        <w:rPr>
          <w:rFonts w:asciiTheme="majorBidi" w:hAnsiTheme="majorBidi" w:cstheme="majorBidi"/>
        </w:rPr>
        <w:t xml:space="preserve">Figure 12 presents the overall feature importance ranking, while Figure 13 provides additional insight into the distribution and direction of feature effects on model predictions. Feature importance patterns were consistent across </w:t>
      </w:r>
      <w:r w:rsidR="00281C98">
        <w:rPr>
          <w:rFonts w:asciiTheme="majorBidi" w:hAnsiTheme="majorBidi" w:cstheme="majorBidi"/>
        </w:rPr>
        <w:t xml:space="preserve">the </w:t>
      </w:r>
      <w:r w:rsidRPr="00260BF2">
        <w:rPr>
          <w:rFonts w:asciiTheme="majorBidi" w:hAnsiTheme="majorBidi" w:cstheme="majorBidi"/>
        </w:rPr>
        <w:t>models, supporting the robustness of the explainability analysis. Although SHAP-based explanations are associative rather than causal, they provide transparent insight into model behaviour and inform subsequent clinical interpretation of predictive performance.</w:t>
      </w:r>
    </w:p>
    <w:p w14:paraId="2CFADDE2" w14:textId="77777777" w:rsidR="006F7614" w:rsidRDefault="006F7614" w:rsidP="006F7614">
      <w:pPr>
        <w:spacing w:line="360" w:lineRule="auto"/>
        <w:rPr>
          <w:rFonts w:asciiTheme="majorBidi" w:hAnsiTheme="majorBidi" w:cstheme="majorBidi"/>
        </w:rPr>
      </w:pPr>
      <w:r w:rsidRPr="00B05AC8">
        <w:rPr>
          <w:b/>
          <w:bCs/>
          <w:noProof/>
        </w:rPr>
        <w:drawing>
          <wp:anchor distT="0" distB="0" distL="114300" distR="114300" simplePos="0" relativeHeight="251662336" behindDoc="0" locked="0" layoutInCell="1" allowOverlap="1" wp14:anchorId="580704E3" wp14:editId="1AC943D6">
            <wp:simplePos x="0" y="0"/>
            <wp:positionH relativeFrom="margin">
              <wp:posOffset>1467061</wp:posOffset>
            </wp:positionH>
            <wp:positionV relativeFrom="paragraph">
              <wp:posOffset>282</wp:posOffset>
            </wp:positionV>
            <wp:extent cx="3033395" cy="3307080"/>
            <wp:effectExtent l="0" t="0" r="1905" b="0"/>
            <wp:wrapSquare wrapText="bothSides"/>
            <wp:docPr id="540889464" name="Picture 7" descr="A graph of a number of med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9464" name="Picture 7" descr="A graph of a number of medication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3395" cy="3307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1F0357" w14:textId="77777777" w:rsidR="006F7614" w:rsidRDefault="006F7614" w:rsidP="006F7614">
      <w:pPr>
        <w:spacing w:line="360" w:lineRule="auto"/>
        <w:rPr>
          <w:rFonts w:asciiTheme="majorBidi" w:hAnsiTheme="majorBidi" w:cstheme="majorBidi"/>
        </w:rPr>
      </w:pPr>
    </w:p>
    <w:p w14:paraId="53CFEB15" w14:textId="77777777" w:rsidR="006F7614" w:rsidRDefault="006F7614" w:rsidP="006F7614">
      <w:pPr>
        <w:spacing w:line="360" w:lineRule="auto"/>
        <w:rPr>
          <w:rFonts w:asciiTheme="majorBidi" w:hAnsiTheme="majorBidi" w:cstheme="majorBidi"/>
        </w:rPr>
      </w:pPr>
    </w:p>
    <w:p w14:paraId="6A7A7398" w14:textId="77777777" w:rsidR="006F7614" w:rsidRDefault="006F7614" w:rsidP="006F7614">
      <w:pPr>
        <w:spacing w:line="360" w:lineRule="auto"/>
        <w:rPr>
          <w:rFonts w:asciiTheme="majorBidi" w:hAnsiTheme="majorBidi" w:cstheme="majorBidi"/>
        </w:rPr>
      </w:pPr>
    </w:p>
    <w:p w14:paraId="76B18ECB" w14:textId="77777777" w:rsidR="006F7614" w:rsidRDefault="006F7614" w:rsidP="006F7614">
      <w:pPr>
        <w:spacing w:line="360" w:lineRule="auto"/>
        <w:rPr>
          <w:rFonts w:asciiTheme="majorBidi" w:hAnsiTheme="majorBidi" w:cstheme="majorBidi"/>
        </w:rPr>
      </w:pPr>
    </w:p>
    <w:p w14:paraId="14BFF643" w14:textId="77777777" w:rsidR="006F7614" w:rsidRDefault="006F7614" w:rsidP="006F7614">
      <w:pPr>
        <w:spacing w:line="360" w:lineRule="auto"/>
        <w:rPr>
          <w:rFonts w:asciiTheme="majorBidi" w:hAnsiTheme="majorBidi" w:cstheme="majorBidi"/>
        </w:rPr>
      </w:pPr>
    </w:p>
    <w:p w14:paraId="23572D33" w14:textId="77777777" w:rsidR="006F7614" w:rsidRDefault="006F7614" w:rsidP="006F7614">
      <w:pPr>
        <w:spacing w:line="360" w:lineRule="auto"/>
        <w:rPr>
          <w:rFonts w:asciiTheme="majorBidi" w:hAnsiTheme="majorBidi" w:cstheme="majorBidi"/>
        </w:rPr>
      </w:pPr>
    </w:p>
    <w:p w14:paraId="626DD498" w14:textId="77777777" w:rsidR="006F7614" w:rsidRDefault="006F7614" w:rsidP="006F7614">
      <w:pPr>
        <w:spacing w:line="360" w:lineRule="auto"/>
        <w:rPr>
          <w:rFonts w:asciiTheme="majorBidi" w:hAnsiTheme="majorBidi" w:cstheme="majorBidi"/>
        </w:rPr>
      </w:pPr>
    </w:p>
    <w:p w14:paraId="2A81A79B" w14:textId="77777777" w:rsidR="006F7614" w:rsidRDefault="006F7614" w:rsidP="006F7614">
      <w:pPr>
        <w:spacing w:line="360" w:lineRule="auto"/>
        <w:rPr>
          <w:rFonts w:asciiTheme="majorBidi" w:hAnsiTheme="majorBidi" w:cstheme="majorBidi"/>
        </w:rPr>
      </w:pPr>
    </w:p>
    <w:p w14:paraId="4B07BDB9" w14:textId="77777777" w:rsidR="006F7614" w:rsidRDefault="006F7614" w:rsidP="006F7614">
      <w:pPr>
        <w:spacing w:line="360" w:lineRule="auto"/>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3A40ECB6" wp14:editId="67C5DBA8">
                <wp:simplePos x="0" y="0"/>
                <wp:positionH relativeFrom="margin">
                  <wp:posOffset>338666</wp:posOffset>
                </wp:positionH>
                <wp:positionV relativeFrom="paragraph">
                  <wp:posOffset>286385</wp:posOffset>
                </wp:positionV>
                <wp:extent cx="5731510" cy="635"/>
                <wp:effectExtent l="0" t="0" r="2540" b="0"/>
                <wp:wrapSquare wrapText="bothSides"/>
                <wp:docPr id="110558003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3725523" w14:textId="3EC83ED2" w:rsidR="006F7614" w:rsidRPr="006D5E0A" w:rsidRDefault="006F7614" w:rsidP="006F7614">
                            <w:pPr>
                              <w:pStyle w:val="Caption"/>
                              <w:rPr>
                                <w:b/>
                                <w:bCs/>
                                <w:sz w:val="22"/>
                                <w:szCs w:val="22"/>
                              </w:rPr>
                            </w:pPr>
                            <w:r>
                              <w:t xml:space="preserve">Figure </w:t>
                            </w:r>
                            <w:r>
                              <w:fldChar w:fldCharType="begin"/>
                            </w:r>
                            <w:r>
                              <w:instrText xml:space="preserve"> SEQ Figure \* ARABIC </w:instrText>
                            </w:r>
                            <w:r>
                              <w:fldChar w:fldCharType="separate"/>
                            </w:r>
                            <w:r w:rsidR="001E374B">
                              <w:rPr>
                                <w:noProof/>
                              </w:rPr>
                              <w:t>7</w:t>
                            </w:r>
                            <w:r>
                              <w:rPr>
                                <w:noProof/>
                              </w:rPr>
                              <w:fldChar w:fldCharType="end"/>
                            </w:r>
                            <w:r>
                              <w:t xml:space="preserve">:Receiver Operating Characteristic (ROC) curve for the Logistic Regression model in predicting adverse drug reactions, illustrating model discrimination across varying decision thresholds.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0ECB6" id="_x0000_s1029" type="#_x0000_t202" style="position:absolute;margin-left:26.65pt;margin-top:22.55pt;width:451.3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" stroked="f">
                <v:textbox style="mso-fit-shape-to-text:t" inset="0,0,0,0">
                  <w:txbxContent>
                    <w:p w14:paraId="63725523" w14:textId="3EC83ED2" w:rsidR="006F7614" w:rsidRPr="006D5E0A" w:rsidRDefault="006F7614" w:rsidP="006F7614">
                      <w:pPr>
                        <w:pStyle w:val="Caption"/>
                        <w:rPr>
                          <w:b/>
                          <w:bCs/>
                          <w:sz w:val="22"/>
                          <w:szCs w:val="22"/>
                        </w:rPr>
                      </w:pPr>
                      <w:r>
                        <w:t xml:space="preserve">Figure </w:t>
                      </w:r>
                      <w:r>
                        <w:fldChar w:fldCharType="begin"/>
                      </w:r>
                      <w:r>
                        <w:instrText xml:space="preserve"> SEQ Figure \* ARABIC </w:instrText>
                      </w:r>
                      <w:r>
                        <w:fldChar w:fldCharType="separate"/>
                      </w:r>
                      <w:r w:rsidR="001E374B">
                        <w:rPr>
                          <w:noProof/>
                        </w:rPr>
                        <w:t>7</w:t>
                      </w:r>
                      <w:r>
                        <w:rPr>
                          <w:noProof/>
                        </w:rPr>
                        <w:fldChar w:fldCharType="end"/>
                      </w:r>
                      <w:r>
                        <w:t xml:space="preserve">:Receiver Operating Characteristic (ROC) curve for the Logistic Regression model in predicting adverse drug reactions, illustrating model discrimination across varying decision thresholds. </w:t>
                      </w:r>
                    </w:p>
                  </w:txbxContent>
                </v:textbox>
                <w10:wrap type="square" anchorx="margin"/>
              </v:shape>
            </w:pict>
          </mc:Fallback>
        </mc:AlternateContent>
      </w:r>
    </w:p>
    <w:p w14:paraId="030648F0" w14:textId="56FCE8C1" w:rsidR="006F7614" w:rsidRDefault="006F7614" w:rsidP="006F7614">
      <w:pPr>
        <w:spacing w:line="360" w:lineRule="auto"/>
        <w:rPr>
          <w:rFonts w:asciiTheme="majorBidi" w:hAnsiTheme="majorBidi" w:cstheme="majorBidi"/>
        </w:rPr>
      </w:pPr>
      <w:r w:rsidRPr="00CA1E05">
        <w:rPr>
          <w:b/>
          <w:bCs/>
          <w:noProof/>
        </w:rPr>
        <w:lastRenderedPageBreak/>
        <w:drawing>
          <wp:anchor distT="0" distB="0" distL="114300" distR="114300" simplePos="0" relativeHeight="251664384" behindDoc="0" locked="0" layoutInCell="1" allowOverlap="1" wp14:anchorId="2C889832" wp14:editId="29B1885E">
            <wp:simplePos x="0" y="0"/>
            <wp:positionH relativeFrom="margin">
              <wp:posOffset>1557655</wp:posOffset>
            </wp:positionH>
            <wp:positionV relativeFrom="paragraph">
              <wp:posOffset>480060</wp:posOffset>
            </wp:positionV>
            <wp:extent cx="3081655" cy="3359785"/>
            <wp:effectExtent l="0" t="0" r="4445" b="5715"/>
            <wp:wrapSquare wrapText="bothSides"/>
            <wp:docPr id="342197399" name="Picture 8" descr="A graph of a number of med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97399" name="Picture 8" descr="A graph of a number of medicati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1655" cy="33597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rPr>
        <w:t xml:space="preserve"> </w:t>
      </w:r>
    </w:p>
    <w:p w14:paraId="2328D3CA" w14:textId="77777777" w:rsidR="006F7614" w:rsidRDefault="006F7614" w:rsidP="006F7614">
      <w:pPr>
        <w:spacing w:line="360" w:lineRule="auto"/>
        <w:rPr>
          <w:rFonts w:asciiTheme="majorBidi" w:hAnsiTheme="majorBidi" w:cstheme="majorBidi"/>
        </w:rPr>
      </w:pPr>
    </w:p>
    <w:p w14:paraId="7051B37D" w14:textId="77777777" w:rsidR="006F7614" w:rsidRDefault="006F7614" w:rsidP="006F7614">
      <w:pPr>
        <w:spacing w:line="360" w:lineRule="auto"/>
        <w:rPr>
          <w:rFonts w:asciiTheme="majorBidi" w:hAnsiTheme="majorBidi" w:cstheme="majorBidi"/>
        </w:rPr>
      </w:pPr>
    </w:p>
    <w:p w14:paraId="095FC1B8" w14:textId="77777777" w:rsidR="006F7614" w:rsidRDefault="006F7614" w:rsidP="006F7614">
      <w:pPr>
        <w:spacing w:line="360" w:lineRule="auto"/>
        <w:rPr>
          <w:rFonts w:asciiTheme="majorBidi" w:hAnsiTheme="majorBidi" w:cstheme="majorBidi"/>
        </w:rPr>
      </w:pPr>
    </w:p>
    <w:p w14:paraId="39975456" w14:textId="77777777" w:rsidR="006F7614" w:rsidRDefault="006F7614" w:rsidP="006F7614">
      <w:pPr>
        <w:spacing w:line="360" w:lineRule="auto"/>
        <w:rPr>
          <w:rFonts w:asciiTheme="majorBidi" w:hAnsiTheme="majorBidi" w:cstheme="majorBidi"/>
        </w:rPr>
      </w:pPr>
    </w:p>
    <w:p w14:paraId="7D8B2C53" w14:textId="77777777" w:rsidR="006F7614" w:rsidRDefault="006F7614" w:rsidP="006F7614">
      <w:pPr>
        <w:spacing w:line="360" w:lineRule="auto"/>
        <w:rPr>
          <w:rFonts w:asciiTheme="majorBidi" w:hAnsiTheme="majorBidi" w:cstheme="majorBidi"/>
        </w:rPr>
      </w:pPr>
    </w:p>
    <w:p w14:paraId="5F30581F" w14:textId="77777777" w:rsidR="006F7614" w:rsidRDefault="006F7614" w:rsidP="006F7614">
      <w:pPr>
        <w:spacing w:line="360" w:lineRule="auto"/>
        <w:rPr>
          <w:rFonts w:asciiTheme="majorBidi" w:hAnsiTheme="majorBidi" w:cstheme="majorBidi"/>
        </w:rPr>
      </w:pPr>
    </w:p>
    <w:p w14:paraId="5CB193B9" w14:textId="77777777" w:rsidR="006F7614" w:rsidRDefault="006F7614" w:rsidP="006F7614">
      <w:pPr>
        <w:spacing w:line="360" w:lineRule="auto"/>
        <w:rPr>
          <w:rFonts w:asciiTheme="majorBidi" w:hAnsiTheme="majorBidi" w:cstheme="majorBidi"/>
        </w:rPr>
      </w:pPr>
    </w:p>
    <w:p w14:paraId="237D00B7" w14:textId="77777777" w:rsidR="006F7614" w:rsidRDefault="006F7614" w:rsidP="006F7614">
      <w:pPr>
        <w:spacing w:line="360" w:lineRule="auto"/>
        <w:rPr>
          <w:rFonts w:asciiTheme="majorBidi" w:hAnsiTheme="majorBidi" w:cstheme="majorBidi"/>
        </w:rPr>
      </w:pPr>
    </w:p>
    <w:p w14:paraId="3E6049EB" w14:textId="125B8403" w:rsidR="004F4200" w:rsidRPr="00F833A8" w:rsidRDefault="006F7614" w:rsidP="00F833A8">
      <w:pPr>
        <w:spacing w:line="360" w:lineRule="auto"/>
        <w:rPr>
          <w:rFonts w:asciiTheme="majorBidi" w:hAnsiTheme="majorBidi" w:cstheme="majorBidi"/>
        </w:rPr>
      </w:pPr>
      <w:r>
        <w:rPr>
          <w:noProof/>
        </w:rPr>
        <mc:AlternateContent>
          <mc:Choice Requires="wps">
            <w:drawing>
              <wp:anchor distT="0" distB="0" distL="114300" distR="114300" simplePos="0" relativeHeight="251665408" behindDoc="0" locked="0" layoutInCell="1" allowOverlap="1" wp14:anchorId="2A9FAE93" wp14:editId="52A0DDF0">
                <wp:simplePos x="0" y="0"/>
                <wp:positionH relativeFrom="column">
                  <wp:posOffset>338455</wp:posOffset>
                </wp:positionH>
                <wp:positionV relativeFrom="paragraph">
                  <wp:posOffset>280670</wp:posOffset>
                </wp:positionV>
                <wp:extent cx="5731510" cy="635"/>
                <wp:effectExtent l="0" t="0" r="0" b="0"/>
                <wp:wrapSquare wrapText="bothSides"/>
                <wp:docPr id="49294636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B14F3E1" w14:textId="6EFA9702" w:rsidR="006F7614" w:rsidRPr="00B218F0" w:rsidRDefault="006F7614" w:rsidP="006F7614">
                            <w:pPr>
                              <w:pStyle w:val="Caption"/>
                              <w:rPr>
                                <w:b/>
                                <w:bCs/>
                                <w:noProof/>
                                <w:sz w:val="22"/>
                                <w:szCs w:val="22"/>
                              </w:rPr>
                            </w:pPr>
                            <w:r>
                              <w:t xml:space="preserve">Figure </w:t>
                            </w:r>
                            <w:r>
                              <w:fldChar w:fldCharType="begin"/>
                            </w:r>
                            <w:r>
                              <w:instrText xml:space="preserve"> SEQ Figure \* ARABIC </w:instrText>
                            </w:r>
                            <w:r>
                              <w:fldChar w:fldCharType="separate"/>
                            </w:r>
                            <w:r w:rsidR="001E374B">
                              <w:rPr>
                                <w:noProof/>
                              </w:rPr>
                              <w:t>8</w:t>
                            </w:r>
                            <w:r>
                              <w:rPr>
                                <w:noProof/>
                              </w:rPr>
                              <w:fldChar w:fldCharType="end"/>
                            </w:r>
                            <w:r>
                              <w:t>:</w:t>
                            </w:r>
                            <w:r w:rsidRPr="00AD5722">
                              <w:rPr>
                                <w:i w:val="0"/>
                                <w:iCs w:val="0"/>
                                <w:color w:val="auto"/>
                                <w:sz w:val="22"/>
                                <w:szCs w:val="22"/>
                              </w:rPr>
                              <w:t xml:space="preserve"> </w:t>
                            </w:r>
                            <w:r w:rsidRPr="00AD5722">
                              <w:t>Receiver Operating Characteristics (ROC) curve for the Support Vector Classifier model in predicting adverse drug reactions, illustrating model discrimination across varying decision thresholds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FAE93" id="_x0000_s1030" type="#_x0000_t202" style="position:absolute;margin-left:26.65pt;margin-top:22.1pt;width:451.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" stroked="f">
                <v:textbox style="mso-fit-shape-to-text:t" inset="0,0,0,0">
                  <w:txbxContent>
                    <w:p w14:paraId="0B14F3E1" w14:textId="6EFA9702" w:rsidR="006F7614" w:rsidRPr="00B218F0" w:rsidRDefault="006F7614" w:rsidP="006F7614">
                      <w:pPr>
                        <w:pStyle w:val="Caption"/>
                        <w:rPr>
                          <w:b/>
                          <w:bCs/>
                          <w:noProof/>
                          <w:sz w:val="22"/>
                          <w:szCs w:val="22"/>
                        </w:rPr>
                      </w:pPr>
                      <w:r>
                        <w:t xml:space="preserve">Figure </w:t>
                      </w:r>
                      <w:r>
                        <w:fldChar w:fldCharType="begin"/>
                      </w:r>
                      <w:r>
                        <w:instrText xml:space="preserve"> SEQ Figure \* ARABIC </w:instrText>
                      </w:r>
                      <w:r>
                        <w:fldChar w:fldCharType="separate"/>
                      </w:r>
                      <w:r w:rsidR="001E374B">
                        <w:rPr>
                          <w:noProof/>
                        </w:rPr>
                        <w:t>8</w:t>
                      </w:r>
                      <w:r>
                        <w:rPr>
                          <w:noProof/>
                        </w:rPr>
                        <w:fldChar w:fldCharType="end"/>
                      </w:r>
                      <w:r>
                        <w:t>:</w:t>
                      </w:r>
                      <w:r w:rsidRPr="00AD5722">
                        <w:rPr>
                          <w:i w:val="0"/>
                          <w:iCs w:val="0"/>
                          <w:color w:val="auto"/>
                          <w:sz w:val="22"/>
                          <w:szCs w:val="22"/>
                        </w:rPr>
                        <w:t xml:space="preserve"> </w:t>
                      </w:r>
                      <w:r w:rsidRPr="00AD5722">
                        <w:t>Receiver Operating Characteristics (ROC) curve for the Support Vector Classifier model in predicting adverse drug reactions, illustrating model discrimination across varying decision thresholds</w:t>
                      </w:r>
                      <w:r>
                        <w:t>.</w:t>
                      </w:r>
                    </w:p>
                  </w:txbxContent>
                </v:textbox>
                <w10:wrap type="square"/>
              </v:shape>
            </w:pict>
          </mc:Fallback>
        </mc:AlternateContent>
      </w:r>
    </w:p>
    <w:p w14:paraId="18FE8C91" w14:textId="19FDFFFB" w:rsidR="006F7614" w:rsidRDefault="006F7614" w:rsidP="006F7614">
      <w:pPr>
        <w:pStyle w:val="ListParagraph"/>
        <w:numPr>
          <w:ilvl w:val="0"/>
          <w:numId w:val="3"/>
        </w:numPr>
        <w:spacing w:line="360" w:lineRule="auto"/>
        <w:rPr>
          <w:rFonts w:asciiTheme="majorBidi" w:hAnsiTheme="majorBidi" w:cstheme="majorBidi"/>
          <w:b/>
          <w:bCs/>
          <w:sz w:val="28"/>
          <w:szCs w:val="28"/>
        </w:rPr>
      </w:pPr>
      <w:r w:rsidRPr="00E907C8">
        <w:rPr>
          <w:rFonts w:asciiTheme="majorBidi" w:hAnsiTheme="majorBidi" w:cstheme="majorBidi"/>
          <w:b/>
          <w:bCs/>
          <w:sz w:val="28"/>
          <w:szCs w:val="28"/>
        </w:rPr>
        <w:t>Discussion</w:t>
      </w:r>
    </w:p>
    <w:p w14:paraId="78635FE1" w14:textId="0FC6B4F2" w:rsidR="006F7614" w:rsidRPr="00AD5722"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This study investigated the ability of machine learning models to predict adverse drug reactions (ADRs) </w:t>
      </w:r>
      <w:r w:rsidR="00683E2D">
        <w:rPr>
          <w:rFonts w:asciiTheme="majorBidi" w:hAnsiTheme="majorBidi" w:cstheme="majorBidi"/>
          <w:kern w:val="0"/>
          <w14:ligatures w14:val="none"/>
        </w:rPr>
        <w:t xml:space="preserve">through the use of </w:t>
      </w:r>
      <w:r>
        <w:rPr>
          <w:rFonts w:asciiTheme="majorBidi" w:hAnsiTheme="majorBidi" w:cstheme="majorBidi"/>
          <w:kern w:val="0"/>
          <w14:ligatures w14:val="none"/>
        </w:rPr>
        <w:t xml:space="preserve">clinical, laboratory, and pharmacological variables. Logistic Regression (LR) and Support Vector Classification (SVC) models were </w:t>
      </w:r>
      <w:r w:rsidR="00683E2D">
        <w:rPr>
          <w:rFonts w:asciiTheme="majorBidi" w:hAnsiTheme="majorBidi" w:cstheme="majorBidi"/>
          <w:kern w:val="0"/>
          <w14:ligatures w14:val="none"/>
        </w:rPr>
        <w:t>assessed</w:t>
      </w:r>
      <w:r>
        <w:rPr>
          <w:rFonts w:asciiTheme="majorBidi" w:hAnsiTheme="majorBidi" w:cstheme="majorBidi"/>
          <w:kern w:val="0"/>
          <w14:ligatures w14:val="none"/>
        </w:rPr>
        <w:t xml:space="preserve"> for predictive performance but also through a clinical safety lens, with emphasis on recall, interpretability, and alignment with established pharmacovigilance principles. </w:t>
      </w:r>
      <w:r w:rsidR="00683E2D">
        <w:rPr>
          <w:rFonts w:asciiTheme="majorBidi" w:hAnsiTheme="majorBidi" w:cstheme="majorBidi"/>
          <w:kern w:val="0"/>
          <w14:ligatures w14:val="none"/>
        </w:rPr>
        <w:t xml:space="preserve">Therefore, in this, we will discuss the above </w:t>
      </w:r>
      <w:r>
        <w:rPr>
          <w:rFonts w:asciiTheme="majorBidi" w:hAnsiTheme="majorBidi" w:cstheme="majorBidi"/>
          <w:kern w:val="0"/>
          <w14:ligatures w14:val="none"/>
        </w:rPr>
        <w:t xml:space="preserve">aim of evaluating interpretable machine learning approaches for ADR risk prediction in hospitalised patients, with a focus on </w:t>
      </w:r>
      <w:r w:rsidR="00683E2D">
        <w:rPr>
          <w:rFonts w:asciiTheme="majorBidi" w:hAnsiTheme="majorBidi" w:cstheme="majorBidi"/>
          <w:kern w:val="0"/>
          <w14:ligatures w14:val="none"/>
        </w:rPr>
        <w:t xml:space="preserve">how the above data can be used for </w:t>
      </w:r>
      <w:r>
        <w:rPr>
          <w:rFonts w:asciiTheme="majorBidi" w:hAnsiTheme="majorBidi" w:cstheme="majorBidi"/>
          <w:kern w:val="0"/>
          <w14:ligatures w14:val="none"/>
        </w:rPr>
        <w:t>clinical safety and practical applicability.</w:t>
      </w:r>
    </w:p>
    <w:p w14:paraId="17622657" w14:textId="78BB8820" w:rsidR="006F7614" w:rsidRPr="00AD5722"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A central consideration in evaluating both models was </w:t>
      </w:r>
      <w:r w:rsidR="00C8026D">
        <w:rPr>
          <w:rFonts w:asciiTheme="majorBidi" w:hAnsiTheme="majorBidi" w:cstheme="majorBidi"/>
          <w:kern w:val="0"/>
          <w14:ligatures w14:val="none"/>
        </w:rPr>
        <w:t>prioritising</w:t>
      </w:r>
      <w:r>
        <w:rPr>
          <w:rFonts w:asciiTheme="majorBidi" w:hAnsiTheme="majorBidi" w:cstheme="majorBidi"/>
          <w:kern w:val="0"/>
          <w14:ligatures w14:val="none"/>
        </w:rPr>
        <w:t xml:space="preserve"> ADR recall. In clinical and pharmacovigilance contexts, failing to identify an ADR can result in </w:t>
      </w:r>
      <w:r w:rsidR="00683E2D">
        <w:rPr>
          <w:rFonts w:asciiTheme="majorBidi" w:hAnsiTheme="majorBidi" w:cstheme="majorBidi"/>
          <w:kern w:val="0"/>
          <w14:ligatures w14:val="none"/>
        </w:rPr>
        <w:t xml:space="preserve">serious patient harm, extended hospitalisation, or avoidable morbidity. </w:t>
      </w:r>
      <w:r>
        <w:rPr>
          <w:rFonts w:asciiTheme="majorBidi" w:hAnsiTheme="majorBidi" w:cstheme="majorBidi"/>
          <w:kern w:val="0"/>
          <w14:ligatures w14:val="none"/>
        </w:rPr>
        <w:t xml:space="preserve">Both models demonstrated moderate ADR recall, with Logistic Regression achieving 0.64 and SVC 0.65. While these values indicate that a proportion of ADR cases remain undetected, the models </w:t>
      </w:r>
      <w:r w:rsidR="00683E2D">
        <w:rPr>
          <w:rFonts w:asciiTheme="majorBidi" w:hAnsiTheme="majorBidi" w:cstheme="majorBidi"/>
          <w:kern w:val="0"/>
          <w14:ligatures w14:val="none"/>
        </w:rPr>
        <w:t xml:space="preserve">were still able to </w:t>
      </w:r>
      <w:r>
        <w:rPr>
          <w:rFonts w:asciiTheme="majorBidi" w:hAnsiTheme="majorBidi" w:cstheme="majorBidi"/>
          <w:kern w:val="0"/>
          <w14:ligatures w14:val="none"/>
        </w:rPr>
        <w:t>successfully identif</w:t>
      </w:r>
      <w:r w:rsidR="00683E2D">
        <w:rPr>
          <w:rFonts w:asciiTheme="majorBidi" w:hAnsiTheme="majorBidi" w:cstheme="majorBidi"/>
          <w:kern w:val="0"/>
          <w14:ligatures w14:val="none"/>
        </w:rPr>
        <w:t>y</w:t>
      </w:r>
      <w:r>
        <w:rPr>
          <w:rFonts w:asciiTheme="majorBidi" w:hAnsiTheme="majorBidi" w:cstheme="majorBidi"/>
          <w:kern w:val="0"/>
          <w14:ligatures w14:val="none"/>
        </w:rPr>
        <w:t xml:space="preserve"> many ADR events. However, despite these positive aspects, the moderate recall rates reveal a</w:t>
      </w:r>
      <w:r w:rsidR="00683E2D">
        <w:rPr>
          <w:rFonts w:asciiTheme="majorBidi" w:hAnsiTheme="majorBidi" w:cstheme="majorBidi"/>
          <w:kern w:val="0"/>
          <w14:ligatures w14:val="none"/>
        </w:rPr>
        <w:t>n</w:t>
      </w:r>
      <w:r>
        <w:rPr>
          <w:rFonts w:asciiTheme="majorBidi" w:hAnsiTheme="majorBidi" w:cstheme="majorBidi"/>
          <w:kern w:val="0"/>
          <w14:ligatures w14:val="none"/>
        </w:rPr>
        <w:t xml:space="preserve"> </w:t>
      </w:r>
      <w:r w:rsidR="00683E2D">
        <w:rPr>
          <w:rFonts w:asciiTheme="majorBidi" w:hAnsiTheme="majorBidi" w:cstheme="majorBidi"/>
          <w:kern w:val="0"/>
          <w14:ligatures w14:val="none"/>
        </w:rPr>
        <w:t>essential</w:t>
      </w:r>
      <w:r>
        <w:rPr>
          <w:rFonts w:asciiTheme="majorBidi" w:hAnsiTheme="majorBidi" w:cstheme="majorBidi"/>
          <w:kern w:val="0"/>
          <w14:ligatures w14:val="none"/>
        </w:rPr>
        <w:t xml:space="preserve"> limitation: both models failed to detect a notable number of actual ADR cases. This may stem from factors such as class imbalance, the inherent complexity of ADR prediction, or </w:t>
      </w:r>
      <w:r w:rsidR="00683E2D">
        <w:rPr>
          <w:rFonts w:asciiTheme="majorBidi" w:hAnsiTheme="majorBidi" w:cstheme="majorBidi"/>
          <w:kern w:val="0"/>
          <w14:ligatures w14:val="none"/>
        </w:rPr>
        <w:t xml:space="preserve">restricted </w:t>
      </w:r>
      <w:r>
        <w:rPr>
          <w:rFonts w:asciiTheme="majorBidi" w:hAnsiTheme="majorBidi" w:cstheme="majorBidi"/>
          <w:kern w:val="0"/>
          <w14:ligatures w14:val="none"/>
        </w:rPr>
        <w:t xml:space="preserve">feature representation in the dataset. Consequently, relying solely on these models in a clinical setting could result in missed opportunities for timely </w:t>
      </w:r>
      <w:r>
        <w:rPr>
          <w:rFonts w:asciiTheme="majorBidi" w:hAnsiTheme="majorBidi" w:cstheme="majorBidi"/>
          <w:kern w:val="0"/>
          <w14:ligatures w14:val="none"/>
        </w:rPr>
        <w:lastRenderedPageBreak/>
        <w:t xml:space="preserve">intervention and an increased risk to patients. The prioritisation of ADR recall over overall accuracy in this study aligns with prior ADR prediction work </w:t>
      </w:r>
      <w:r w:rsidR="00683E2D">
        <w:rPr>
          <w:rFonts w:asciiTheme="majorBidi" w:hAnsiTheme="majorBidi" w:cstheme="majorBidi"/>
          <w:kern w:val="0"/>
          <w14:ligatures w14:val="none"/>
        </w:rPr>
        <w:t xml:space="preserve">showing that </w:t>
      </w:r>
      <w:r>
        <w:rPr>
          <w:rFonts w:asciiTheme="majorBidi" w:hAnsiTheme="majorBidi" w:cstheme="majorBidi"/>
          <w:kern w:val="0"/>
          <w14:ligatures w14:val="none"/>
        </w:rPr>
        <w:t xml:space="preserve">model performance through a patient-safety lens, rather than purely statistical optimisation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{"citationID":"BBycmPJ7","properties":{"formattedCitation":"(Chiu et al., 2024; Wolff et al., 2023b)","plainCitation":"(Chiu et al., 2024; Wolff et al., 2023b)","noteIndex":0},"citationItems":[{"id":601,"uris":["http://zotero.org/users/13727123/items/KVWELLBG"],"itemData":{"id":601,"type":"article-journal","container-title":"International Journal of Antimicrobial Agents","DOI":"10.1016/j.ijantimicag.2024.107175","ISSN":"09248579","issue":"1","journalAbbreviation":"International Journal of Antimicrobial Agents","language":"en","page":"107175","source":"DOI.org (Crossref)","title":"Machine learning algorithms to predict colistin-induced nephrotoxicity from electronic health records in patients with multidrug-resistant Gram-negative infection","volume":"64","author":[{"family":"Chiu","given":"Ling-Wan"},{"family":"Ku","given":"Yi-En"},{"family":"Chan","given":"Fan-Ying"},{"family":"Lie","given":"Wen-Nung"},{"family":"Chao","given":"Horng-Jiun"},{"family":"Wang","given":"San-Yuan"},{"family":"Shen","given":"Wan-Chen"},{"family":"Chen","given":"Hsiang-Yin"}],"issued":{"date-parts":[["2024",7]]}}},{"id":600,"uris":["http://zotero.org/users/13727123/items/GA3V5NSW"],"itemData":{"id":600,"type":"article-journal","container-title":"Procedia Computer Science","DOI":"10.1016/j.procs.2023.09.087","ISSN":"18770509","journalAbbreviation":"Procedia Computer Science","language":"en","page":"22-31","source":"DOI.org (Crossref)","title":"Machine Learning Methods for Predicting Adverse Drug Reactions in Hospitalized Patients","volume":"225","author":[{"family":"Wolff","given":"Patricio"},{"family":"Ríos","given":"Sebastián A."},{"family":"Gonzáles","given":"Claudio"}],"issued":{"date-parts":[["2023"]]}}}],"schema":"https://github.com/citation-style-language/schema/raw/master/csl-citation.json"} </w:instrText>
      </w:r>
      <w:r>
        <w:rPr>
          <w:rFonts w:asciiTheme="majorBidi" w:hAnsiTheme="majorBidi" w:cstheme="majorBidi"/>
          <w:kern w:val="0"/>
          <w14:ligatures w14:val="none"/>
        </w:rPr>
        <w:fldChar w:fldCharType="separate"/>
      </w:r>
      <w:r>
        <w:rPr>
          <w:rFonts w:ascii="Times New Roman" w:hAnsi="Times New Roman" w:cs="Times New Roman"/>
          <w:kern w:val="0"/>
          <w14:ligatures w14:val="none"/>
        </w:rPr>
        <w:t>(Chiu et al., 2024; Wolff et al., 2023b)</w:t>
      </w:r>
      <w:r>
        <w:rPr>
          <w:rFonts w:asciiTheme="majorBidi" w:hAnsiTheme="majorBidi" w:cstheme="majorBidi"/>
          <w:kern w:val="0"/>
          <w14:ligatures w14:val="none"/>
        </w:rPr>
        <w:fldChar w:fldCharType="end"/>
      </w:r>
      <w:r>
        <w:rPr>
          <w:rFonts w:asciiTheme="majorBidi" w:hAnsiTheme="majorBidi" w:cstheme="majorBidi"/>
          <w:kern w:val="0"/>
          <w14:ligatures w14:val="none"/>
        </w:rPr>
        <w:t>. Like these studies, the present findings reinforce that missing ADR cases pose greater clinical risk than false positives, supporting the methodological decision to emphasise recall when interpreting model performance</w:t>
      </w:r>
      <w:r w:rsidR="00A163C3">
        <w:rPr>
          <w:rFonts w:asciiTheme="majorBidi" w:hAnsiTheme="majorBidi" w:cstheme="majorBidi"/>
          <w:kern w:val="0"/>
          <w14:ligatures w14:val="none"/>
        </w:rPr>
        <w:t xml:space="preserve">. Nonetheless, it also </w:t>
      </w:r>
      <w:r>
        <w:rPr>
          <w:rFonts w:asciiTheme="majorBidi" w:hAnsiTheme="majorBidi" w:cstheme="majorBidi"/>
          <w:kern w:val="0"/>
          <w14:ligatures w14:val="none"/>
        </w:rPr>
        <w:t>highlight</w:t>
      </w:r>
      <w:r w:rsidR="00A163C3">
        <w:rPr>
          <w:rFonts w:asciiTheme="majorBidi" w:hAnsiTheme="majorBidi" w:cstheme="majorBidi"/>
          <w:kern w:val="0"/>
          <w14:ligatures w14:val="none"/>
        </w:rPr>
        <w:t>s</w:t>
      </w:r>
      <w:r>
        <w:rPr>
          <w:rFonts w:asciiTheme="majorBidi" w:hAnsiTheme="majorBidi" w:cstheme="majorBidi"/>
          <w:kern w:val="0"/>
          <w14:ligatures w14:val="none"/>
        </w:rPr>
        <w:t xml:space="preserve"> the need for further model refinement and cautious clinical integration.</w:t>
      </w:r>
    </w:p>
    <w:p w14:paraId="2B6584CA" w14:textId="0FFC9314" w:rsidR="006F7614" w:rsidRPr="00AD5722"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Despite overall </w:t>
      </w:r>
      <w:r w:rsidRPr="00024162">
        <w:rPr>
          <w:rFonts w:asciiTheme="majorBidi" w:hAnsiTheme="majorBidi" w:cstheme="majorBidi"/>
          <w:kern w:val="0"/>
          <w14:ligatures w14:val="none"/>
        </w:rPr>
        <w:t xml:space="preserve">accuracy values of 69% for LR and </w:t>
      </w:r>
      <w:r w:rsidR="00024162" w:rsidRPr="00024162">
        <w:rPr>
          <w:rFonts w:asciiTheme="majorBidi" w:hAnsiTheme="majorBidi" w:cstheme="majorBidi"/>
          <w:kern w:val="0"/>
          <w14:ligatures w14:val="none"/>
        </w:rPr>
        <w:t>71%</w:t>
      </w:r>
      <w:r w:rsidRPr="00024162">
        <w:rPr>
          <w:rFonts w:asciiTheme="majorBidi" w:hAnsiTheme="majorBidi" w:cstheme="majorBidi"/>
          <w:kern w:val="0"/>
          <w14:ligatures w14:val="none"/>
        </w:rPr>
        <w:t xml:space="preserve"> for SVC</w:t>
      </w:r>
      <w:r w:rsidRPr="00A163C3">
        <w:rPr>
          <w:rFonts w:asciiTheme="majorBidi" w:hAnsiTheme="majorBidi" w:cstheme="majorBidi"/>
          <w:kern w:val="0"/>
          <w:highlight w:val="yellow"/>
          <w14:ligatures w14:val="none"/>
        </w:rPr>
        <w:t>,</w:t>
      </w:r>
      <w:r>
        <w:rPr>
          <w:rFonts w:asciiTheme="majorBidi" w:hAnsiTheme="majorBidi" w:cstheme="majorBidi"/>
          <w:kern w:val="0"/>
          <w14:ligatures w14:val="none"/>
        </w:rPr>
        <w:t xml:space="preserve"> the two models exhibited clinically distinct error profiles. This finding highlights the limitations of accuracy as a sole evaluation metric </w:t>
      </w:r>
      <w:r w:rsidR="00A163C3">
        <w:rPr>
          <w:rFonts w:asciiTheme="majorBidi" w:hAnsiTheme="majorBidi" w:cstheme="majorBidi"/>
          <w:kern w:val="0"/>
          <w14:ligatures w14:val="none"/>
        </w:rPr>
        <w:t>i</w:t>
      </w:r>
      <w:r>
        <w:rPr>
          <w:rFonts w:asciiTheme="majorBidi" w:hAnsiTheme="majorBidi" w:cstheme="majorBidi"/>
          <w:kern w:val="0"/>
          <w14:ligatures w14:val="none"/>
        </w:rPr>
        <w:t xml:space="preserve">n medical prediction tasks with class imbalance and asymmetric consequences of misclassification. In this dataset, non-ADR cases were more prevalent than ADR cases, suggesting that accuracy alone can overstate model effectiveness by favouring the majority class. The observed differences in recall, precision, and class-specific performance demonstrate that accuracy </w:t>
      </w:r>
      <w:r w:rsidR="00A163C3">
        <w:rPr>
          <w:rFonts w:asciiTheme="majorBidi" w:hAnsiTheme="majorBidi" w:cstheme="majorBidi"/>
          <w:kern w:val="0"/>
          <w14:ligatures w14:val="none"/>
        </w:rPr>
        <w:t xml:space="preserve">can mask the </w:t>
      </w:r>
      <w:r>
        <w:rPr>
          <w:rFonts w:asciiTheme="majorBidi" w:hAnsiTheme="majorBidi" w:cstheme="majorBidi"/>
          <w:kern w:val="0"/>
          <w14:ligatures w14:val="none"/>
        </w:rPr>
        <w:t xml:space="preserve">clinically meaningful trade-offs. This reinforces recommendations from the medical machine learning literature that model evaluation should incorporate multiple metrics and be interpreted in the context of the clinical setting rather than relying on </w:t>
      </w:r>
      <w:r w:rsidR="00A163C3">
        <w:rPr>
          <w:rFonts w:asciiTheme="majorBidi" w:hAnsiTheme="majorBidi" w:cstheme="majorBidi"/>
          <w:kern w:val="0"/>
          <w14:ligatures w14:val="none"/>
        </w:rPr>
        <w:t>summative</w:t>
      </w:r>
      <w:r>
        <w:rPr>
          <w:rFonts w:asciiTheme="majorBidi" w:hAnsiTheme="majorBidi" w:cstheme="majorBidi"/>
          <w:kern w:val="0"/>
          <w14:ligatures w14:val="none"/>
        </w:rPr>
        <w:t xml:space="preserve"> measures </w:t>
      </w:r>
      <w:r>
        <w:rPr>
          <w:rFonts w:asciiTheme="majorBidi" w:hAnsiTheme="majorBidi" w:cstheme="majorBidi"/>
          <w:kern w:val="0"/>
          <w14:ligatures w14:val="none"/>
        </w:rPr>
        <w:fldChar w:fldCharType="begin"/>
      </w:r>
      <w:r w:rsidR="00A022A5">
        <w:rPr>
          <w:rFonts w:asciiTheme="majorBidi" w:hAnsiTheme="majorBidi" w:cstheme="majorBidi"/>
          <w:kern w:val="0"/>
          <w14:ligatures w14:val="none"/>
        </w:rPr>
        <w:instrText xml:space="preserve"> ADDIN ZOTERO_ITEM CSL_CITATION {"citationID":"w5CJxagp","properties":{"formattedCitation":"(Van Dung et al., 2025b; Wolff et al., 2023b)","plainCitation":"(Van Dung et al., 2025b; Wolff et al., 2023b)","noteIndex":0},"citationItems":[{"id":"EtHRhwhX/7xDABOwe","uris":["http://zotero.org/users/13727123/items/Y66Q2KZV"],"itemData":{"id":602,"type":"article-journal","container-title":"BMC Medical Informatics and Decision Making","DOI":"10.1186/s12911-025-03107-3","ISSN":"1472-6947","issue":"1","journalAbbreviation":"BMC Med Inform Decis Mak","language":"en","page":"265","source":"DOI.org (Crossref)","title":"Development and external validation of a machine learning model for predicting drug-induced immune thrombocytopenia in a real-world hospital cohort","volume":"25","author":[{"family":"Van Dung","given":"Hoang"},{"family":"Tan","given":"Vu Manh"},{"family":"Dieu","given":"Nguyen Thi"},{"family":"Van Linh","given":"Pham"},{"family":"Van Khai","given":"Nguyen"},{"family":"Ngan","given":"Tran Thi"},{"family":"Phuong","given":"Nguyen Thi Thu"}],"issued":{"date-parts":[["2025",7,15]]}}},{"id":600,"uris":["http://zotero.org/users/13727123/items/GA3V5NSW"],"itemData":{"id":600,"type":"article-journal","container-title":"Procedia Computer Science","DOI":"10.1016/j.procs.2023.09.087","ISSN":"18770509","journalAbbreviation":"Procedia Computer Science","language":"en","page":"22-31","source":"DOI.org (Crossref)","title":"Machine Learning Methods for Predicting Adverse Drug Reactions in Hospitalized Patients","volume":"225","author":[{"family":"Wolff","given":"Patricio"},{"family":"Ríos","given":"Sebastián A."},{"family":"Gonzáles","given":"Claudio"}],"issued":{"date-parts":[["2023"]]}}}],"schema":"https://github.com/citation-style-language/schema/raw/master/csl-citation.json"} </w:instrText>
      </w:r>
      <w:r>
        <w:rPr>
          <w:rFonts w:asciiTheme="majorBidi" w:hAnsiTheme="majorBidi" w:cstheme="majorBidi"/>
          <w:kern w:val="0"/>
          <w14:ligatures w14:val="none"/>
        </w:rPr>
        <w:fldChar w:fldCharType="separate"/>
      </w:r>
      <w:r>
        <w:rPr>
          <w:rFonts w:ascii="Times New Roman" w:hAnsi="Times New Roman" w:cs="Times New Roman"/>
          <w:kern w:val="0"/>
          <w14:ligatures w14:val="none"/>
        </w:rPr>
        <w:t>(Van Dung et al., 2025b; Wolff et al., 2023b)</w:t>
      </w:r>
      <w:r>
        <w:rPr>
          <w:rFonts w:asciiTheme="majorBidi" w:hAnsiTheme="majorBidi" w:cstheme="majorBidi"/>
          <w:kern w:val="0"/>
          <w14:ligatures w14:val="none"/>
        </w:rPr>
        <w:fldChar w:fldCharType="end"/>
      </w:r>
      <w:r>
        <w:rPr>
          <w:rFonts w:asciiTheme="majorBidi" w:hAnsiTheme="majorBidi" w:cstheme="majorBidi"/>
          <w:kern w:val="0"/>
          <w14:ligatures w14:val="none"/>
        </w:rPr>
        <w:t>. This interpretation is consistent with best-practice recommendations in medical machine learning, which emphasise context-aware, multi-metric evaluation in safety-critical applications</w:t>
      </w:r>
      <w:r w:rsidR="00A163C3">
        <w:rPr>
          <w:rFonts w:asciiTheme="majorBidi" w:hAnsiTheme="majorBidi" w:cstheme="majorBidi"/>
          <w:kern w:val="0"/>
          <w14:ligatures w14:val="none"/>
        </w:rPr>
        <w:t xml:space="preserve"> to ensure that all aspects are covered</w:t>
      </w:r>
      <w:r>
        <w:rPr>
          <w:rFonts w:asciiTheme="majorBidi" w:hAnsiTheme="majorBidi" w:cstheme="majorBidi"/>
          <w:kern w:val="0"/>
          <w14:ligatures w14:val="none"/>
        </w:rPr>
        <w:t>.</w:t>
      </w:r>
    </w:p>
    <w:p w14:paraId="70A40129" w14:textId="6D39114A"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 xml:space="preserve">Logistic Regression demonstrated slightly </w:t>
      </w:r>
      <w:r>
        <w:rPr>
          <w:rFonts w:asciiTheme="majorBidi" w:hAnsiTheme="majorBidi" w:cstheme="majorBidi"/>
        </w:rPr>
        <w:t>lower</w:t>
      </w:r>
      <w:r w:rsidRPr="00AD5722">
        <w:rPr>
          <w:rFonts w:asciiTheme="majorBidi" w:hAnsiTheme="majorBidi" w:cstheme="majorBidi"/>
        </w:rPr>
        <w:t xml:space="preserve"> ADR recall than SVC,</w:t>
      </w:r>
      <w:r>
        <w:rPr>
          <w:rFonts w:asciiTheme="majorBidi" w:hAnsiTheme="majorBidi" w:cstheme="majorBidi"/>
        </w:rPr>
        <w:t xml:space="preserve"> with SVC </w:t>
      </w:r>
      <w:r w:rsidRPr="00AD5722">
        <w:rPr>
          <w:rFonts w:asciiTheme="majorBidi" w:hAnsiTheme="majorBidi" w:cstheme="majorBidi"/>
        </w:rPr>
        <w:t xml:space="preserve">correctly identifying one additional ADR case. Although this difference may appear numerically small, it carries clinical significance in safety-critical environments. In hospital settings, a single additional detected ADR </w:t>
      </w:r>
      <w:r w:rsidR="00A163C3">
        <w:rPr>
          <w:rFonts w:asciiTheme="majorBidi" w:hAnsiTheme="majorBidi" w:cstheme="majorBidi"/>
        </w:rPr>
        <w:t xml:space="preserve">is proactive in preventing </w:t>
      </w:r>
      <w:r w:rsidRPr="00AD5722">
        <w:rPr>
          <w:rFonts w:asciiTheme="majorBidi" w:hAnsiTheme="majorBidi" w:cstheme="majorBidi"/>
        </w:rPr>
        <w:t xml:space="preserve">patient harm or </w:t>
      </w:r>
      <w:r w:rsidR="00A163C3">
        <w:rPr>
          <w:rFonts w:asciiTheme="majorBidi" w:hAnsiTheme="majorBidi" w:cstheme="majorBidi"/>
        </w:rPr>
        <w:t xml:space="preserve">potentially </w:t>
      </w:r>
      <w:r w:rsidRPr="00AD5722">
        <w:rPr>
          <w:rFonts w:asciiTheme="majorBidi" w:hAnsiTheme="majorBidi" w:cstheme="majorBidi"/>
        </w:rPr>
        <w:t>trigger</w:t>
      </w:r>
      <w:r w:rsidR="00A163C3">
        <w:rPr>
          <w:rFonts w:asciiTheme="majorBidi" w:hAnsiTheme="majorBidi" w:cstheme="majorBidi"/>
        </w:rPr>
        <w:t>ing</w:t>
      </w:r>
      <w:r w:rsidRPr="00AD5722">
        <w:rPr>
          <w:rFonts w:asciiTheme="majorBidi" w:hAnsiTheme="majorBidi" w:cstheme="majorBidi"/>
        </w:rPr>
        <w:t xml:space="preserve"> timely clinical intervention. This illustrates the importance of interpreting performance differences qualitatively rather than purely statistically. From a pharmacovigilance perspective, </w:t>
      </w:r>
      <w:r w:rsidR="00A163C3" w:rsidRPr="00AD5722">
        <w:rPr>
          <w:rFonts w:asciiTheme="majorBidi" w:hAnsiTheme="majorBidi" w:cstheme="majorBidi"/>
        </w:rPr>
        <w:t>minimal</w:t>
      </w:r>
      <w:r w:rsidRPr="00AD5722">
        <w:rPr>
          <w:rFonts w:asciiTheme="majorBidi" w:hAnsiTheme="majorBidi" w:cstheme="majorBidi"/>
        </w:rPr>
        <w:t xml:space="preserve"> improvements in sensitivity can be meaningful, particularly when models are used as decision-support tools rather than</w:t>
      </w:r>
      <w:r>
        <w:rPr>
          <w:rFonts w:asciiTheme="majorBidi" w:hAnsiTheme="majorBidi" w:cstheme="majorBidi"/>
        </w:rPr>
        <w:t xml:space="preserve"> as</w:t>
      </w:r>
      <w:r w:rsidRPr="00AD5722">
        <w:rPr>
          <w:rFonts w:asciiTheme="majorBidi" w:hAnsiTheme="majorBidi" w:cstheme="majorBidi"/>
        </w:rPr>
        <w:t xml:space="preserve"> </w:t>
      </w:r>
      <w:r w:rsidR="00A163C3" w:rsidRPr="00AD5722">
        <w:rPr>
          <w:rFonts w:asciiTheme="majorBidi" w:hAnsiTheme="majorBidi" w:cstheme="majorBidi"/>
        </w:rPr>
        <w:t>independent</w:t>
      </w:r>
      <w:r w:rsidRPr="00AD5722">
        <w:rPr>
          <w:rFonts w:asciiTheme="majorBidi" w:hAnsiTheme="majorBidi" w:cstheme="majorBidi"/>
        </w:rPr>
        <w:t xml:space="preserve"> systems.</w:t>
      </w:r>
    </w:p>
    <w:p w14:paraId="5ECD828B" w14:textId="51C4C09B" w:rsidR="006F7614" w:rsidRPr="00AD5722" w:rsidRDefault="006F7614" w:rsidP="006F7614">
      <w:pPr>
        <w:spacing w:line="360" w:lineRule="auto"/>
        <w:rPr>
          <w:rFonts w:asciiTheme="majorBidi" w:hAnsiTheme="majorBidi" w:cstheme="majorBidi"/>
        </w:rPr>
      </w:pPr>
      <w:bookmarkStart w:id="10" w:name="OLE_LINK6"/>
      <w:r w:rsidRPr="00AD5722">
        <w:rPr>
          <w:rFonts w:asciiTheme="majorBidi" w:hAnsiTheme="majorBidi" w:cstheme="majorBidi"/>
        </w:rPr>
        <w:t>Both models exhibited relatively low precision for the ADR class</w:t>
      </w:r>
      <w:r>
        <w:rPr>
          <w:rFonts w:asciiTheme="majorBidi" w:hAnsiTheme="majorBidi" w:cstheme="majorBidi"/>
        </w:rPr>
        <w:t xml:space="preserve"> (1) </w:t>
      </w:r>
      <w:r w:rsidRPr="00AD5722">
        <w:rPr>
          <w:rFonts w:asciiTheme="majorBidi" w:hAnsiTheme="majorBidi" w:cstheme="majorBidi"/>
        </w:rPr>
        <w:t xml:space="preserve">with </w:t>
      </w:r>
      <w:r>
        <w:rPr>
          <w:rFonts w:asciiTheme="majorBidi" w:hAnsiTheme="majorBidi" w:cstheme="majorBidi"/>
        </w:rPr>
        <w:t xml:space="preserve">LR </w:t>
      </w:r>
      <w:r w:rsidRPr="00AD5722">
        <w:rPr>
          <w:rFonts w:asciiTheme="majorBidi" w:hAnsiTheme="majorBidi" w:cstheme="majorBidi"/>
        </w:rPr>
        <w:t>0.</w:t>
      </w:r>
      <w:r>
        <w:rPr>
          <w:rFonts w:asciiTheme="majorBidi" w:hAnsiTheme="majorBidi" w:cstheme="majorBidi"/>
        </w:rPr>
        <w:t>54 and SVC 0.56</w:t>
      </w:r>
      <w:r w:rsidRPr="00AD5722">
        <w:rPr>
          <w:rFonts w:asciiTheme="majorBidi" w:hAnsiTheme="majorBidi" w:cstheme="majorBidi"/>
        </w:rPr>
        <w:t xml:space="preserve">. This indicates a substantial number of false positives, </w:t>
      </w:r>
      <w:r>
        <w:rPr>
          <w:rFonts w:asciiTheme="majorBidi" w:hAnsiTheme="majorBidi" w:cstheme="majorBidi"/>
        </w:rPr>
        <w:t>suggest</w:t>
      </w:r>
      <w:r w:rsidRPr="00AD5722">
        <w:rPr>
          <w:rFonts w:asciiTheme="majorBidi" w:hAnsiTheme="majorBidi" w:cstheme="majorBidi"/>
        </w:rPr>
        <w:t xml:space="preserve">ing that some patients were flagged as high risk </w:t>
      </w:r>
      <w:r>
        <w:rPr>
          <w:rFonts w:asciiTheme="majorBidi" w:hAnsiTheme="majorBidi" w:cstheme="majorBidi"/>
        </w:rPr>
        <w:t>even though they did</w:t>
      </w:r>
      <w:r w:rsidRPr="00AD5722">
        <w:rPr>
          <w:rFonts w:asciiTheme="majorBidi" w:hAnsiTheme="majorBidi" w:cstheme="majorBidi"/>
        </w:rPr>
        <w:t xml:space="preserve"> not experienc</w:t>
      </w:r>
      <w:r>
        <w:rPr>
          <w:rFonts w:asciiTheme="majorBidi" w:hAnsiTheme="majorBidi" w:cstheme="majorBidi"/>
        </w:rPr>
        <w:t>e</w:t>
      </w:r>
      <w:r w:rsidRPr="00AD5722">
        <w:rPr>
          <w:rFonts w:asciiTheme="majorBidi" w:hAnsiTheme="majorBidi" w:cstheme="majorBidi"/>
        </w:rPr>
        <w:t xml:space="preserve"> an ADR. Rather than representing a modelling weakness, this behaviour reflects an acceptable and often desirable trade-off in pharmacovigilance. False positives typically prompt further clinical review, enhanced monitoring, or medication reassessment, which may still benefit patient safety. In contrast, false negatives represent missed opportunities for intervention. By accepting reduced precision in favour of higher recall, the models align with established safety-first </w:t>
      </w:r>
      <w:r w:rsidRPr="00AD5722">
        <w:rPr>
          <w:rFonts w:asciiTheme="majorBidi" w:hAnsiTheme="majorBidi" w:cstheme="majorBidi"/>
        </w:rPr>
        <w:lastRenderedPageBreak/>
        <w:t>principles in healthcare analytics. This justification demonstrates critical engagement with model behaviour rather than descriptive reporting of metrics.</w:t>
      </w:r>
    </w:p>
    <w:bookmarkEnd w:id="10"/>
    <w:p w14:paraId="0D160A0E" w14:textId="1AEB2F3F" w:rsidR="006F7614" w:rsidRPr="00AD5722" w:rsidRDefault="000C78E8" w:rsidP="00A022A5">
      <w:pPr>
        <w:spacing w:line="360" w:lineRule="auto"/>
        <w:rPr>
          <w:rFonts w:asciiTheme="majorBidi" w:hAnsiTheme="majorBidi" w:cstheme="majorBidi"/>
        </w:rPr>
      </w:pPr>
      <w:r>
        <w:rPr>
          <w:rFonts w:asciiTheme="majorBidi" w:hAnsiTheme="majorBidi" w:cstheme="majorBidi"/>
        </w:rPr>
        <w:t>Regarding</w:t>
      </w:r>
      <w:r w:rsidR="000D1291">
        <w:rPr>
          <w:rFonts w:asciiTheme="majorBidi" w:hAnsiTheme="majorBidi" w:cstheme="majorBidi"/>
        </w:rPr>
        <w:t xml:space="preserve"> the values </w:t>
      </w:r>
      <w:r>
        <w:rPr>
          <w:rFonts w:asciiTheme="majorBidi" w:hAnsiTheme="majorBidi" w:cstheme="majorBidi"/>
        </w:rPr>
        <w:t>used as determining factors, r</w:t>
      </w:r>
      <w:r w:rsidR="006F7614" w:rsidRPr="00AD5722">
        <w:rPr>
          <w:rFonts w:asciiTheme="majorBidi" w:hAnsiTheme="majorBidi" w:cstheme="majorBidi"/>
        </w:rPr>
        <w:t xml:space="preserve">enal dysfunction indicators, including elevated urea levels and diagnosed renal disease, were strongly associated with </w:t>
      </w:r>
      <w:r>
        <w:rPr>
          <w:rFonts w:asciiTheme="majorBidi" w:hAnsiTheme="majorBidi" w:cstheme="majorBidi"/>
        </w:rPr>
        <w:t xml:space="preserve">an </w:t>
      </w:r>
      <w:r w:rsidR="006F7614" w:rsidRPr="00AD5722">
        <w:rPr>
          <w:rFonts w:asciiTheme="majorBidi" w:hAnsiTheme="majorBidi" w:cstheme="majorBidi"/>
        </w:rPr>
        <w:t>increased ADR risk. This aligns with pharmacokinetic principles, as impaired renal function reduces drug clearance, leading to accumulation and increased toxicity for renally excreted medications</w:t>
      </w:r>
      <w:r>
        <w:rPr>
          <w:rFonts w:asciiTheme="majorBidi" w:hAnsiTheme="majorBidi" w:cstheme="majorBidi"/>
        </w:rPr>
        <w:t xml:space="preserve"> </w:t>
      </w:r>
      <w:r w:rsidR="00A022A5">
        <w:rPr>
          <w:rFonts w:asciiTheme="majorBidi" w:hAnsiTheme="majorBidi" w:cstheme="majorBidi"/>
        </w:rPr>
        <w:fldChar w:fldCharType="begin"/>
      </w:r>
      <w:r w:rsidR="00A022A5">
        <w:rPr>
          <w:rFonts w:asciiTheme="majorBidi" w:hAnsiTheme="majorBidi" w:cstheme="majorBidi"/>
        </w:rPr>
        <w:instrText xml:space="preserve"> ADDIN ZOTERO_ITEM CSL_CITATION {"citationID":"CN951Ckd","properties":{"formattedCitation":"(Chiang et al., 2021)","plainCitation":"(Chiang et al., 2021)","noteIndex":0},"citationItems":[{"id":523,"uris":["http://zotero.org/users/13727123/items/UU86SFTA"],"itemData":{"id":523,"type":"article-journal","abstract":"Case-control design based high-throughput pharmacoinformatics study using large-scale longitudinal health data is able to detect new adverse drug event (ADEs) signals. Existing control selection approaches for case-control design included the dynamic/super control selection approach. The dynamic/super control selection approach requires all individuals to be evaluated at all ADE case index dates, as the individuals’ eligibilities as control depend on ADE/enrollment history. Thus, using large-scale longitudinal health data, the dynamic/super control selection approach requires extraordinarily high computational time. We proposed a random control selection approach in which ADE case index dates were matched by randomly generated control index dates. The random control selection approach does not depend on ADE/enrollment history. It is able to significantly reduce computational time to prepare case-control data sets, as it requires all individuals to be evaluated only once. We compared the performance metrics of all control selection approaches using two large-scale longitudinal health data and a drug-ADE gold standard including 399 drug-ADE pairs. The F-scores for the random control selection approach were between 0.586 and 0.600 compared to between 0.545 and 0.562 for dynamic/super control selection approaches. The random control selection approach was 1000 times faster than dynamic/super control selection approach on preparing case-control data sets. With large-scale longitudinal health data, a case-control design-based pharmacoinformatics study using random control selection is able to generate comparable ADE signals than the existing control selection approaches. The random control selection approach also significantly reduces computational time to prepare the case-control data sets.","container-title":"CPT: Pharmacometrics &amp; Systems Pharmacology","DOI":"10.1002/psp4.12673","ISSN":"2163-8306","issue":"9","language":"en","license":"© 2021 The Authors. CPT: Pharmacometrics &amp; Systems Pharmacology published by Wiley Periodicals LLC on behalf of American Society for Clinical Pharmacology and Therapeutics.","note":"_eprint: https://ascpt.onlinelibrary.wiley.com/doi/pdf/10.1002/psp4.12673","page":"1032-1042","source":"Wiley Online Library","title":"Random control selection for conducting high-throughput adverse drug events screening using large-scale longitudinal health data","volume":"10","author":[{"family":"Chiang","given":"Chien-Wei"},{"family":"Zhang","given":"Pengyue"},{"family":"Donneyong","given":"Macarius"},{"family":"Chen","given":"You"},{"family":"Su","given":"Yu"},{"family":"Li","given":"Lang"}],"issued":{"date-parts":[["2021"]]}}}],"schema":"https://github.com/citation-style-language/schema/raw/master/csl-citation.json"} </w:instrText>
      </w:r>
      <w:r w:rsidR="00A022A5">
        <w:rPr>
          <w:rFonts w:asciiTheme="majorBidi" w:hAnsiTheme="majorBidi" w:cstheme="majorBidi"/>
        </w:rPr>
        <w:fldChar w:fldCharType="separate"/>
      </w:r>
      <w:r w:rsidR="00A022A5" w:rsidRPr="00A022A5">
        <w:rPr>
          <w:rFonts w:ascii="Times New Roman" w:hAnsi="Times New Roman" w:cs="Times New Roman"/>
        </w:rPr>
        <w:t>(Chiang et al., 2021)</w:t>
      </w:r>
      <w:r w:rsidR="00A022A5">
        <w:rPr>
          <w:rFonts w:asciiTheme="majorBidi" w:hAnsiTheme="majorBidi" w:cstheme="majorBidi"/>
        </w:rPr>
        <w:fldChar w:fldCharType="end"/>
      </w:r>
      <w:r w:rsidR="006F7614" w:rsidRPr="00AD5722">
        <w:rPr>
          <w:rFonts w:asciiTheme="majorBidi" w:hAnsiTheme="majorBidi" w:cstheme="majorBidi"/>
        </w:rPr>
        <w:t xml:space="preserve">. </w:t>
      </w:r>
      <w:r w:rsidR="006F7614">
        <w:rPr>
          <w:rFonts w:asciiTheme="majorBidi" w:hAnsiTheme="majorBidi" w:cstheme="majorBidi"/>
        </w:rPr>
        <w:t>Identifying</w:t>
      </w:r>
      <w:r w:rsidR="006F7614" w:rsidRPr="00AD5722">
        <w:rPr>
          <w:rFonts w:asciiTheme="majorBidi" w:hAnsiTheme="majorBidi" w:cstheme="majorBidi"/>
        </w:rPr>
        <w:t xml:space="preserve"> renal markers as important predictors demonstrates that the models were sensitive to physiological mechanisms known to </w:t>
      </w:r>
      <w:r>
        <w:rPr>
          <w:rFonts w:asciiTheme="majorBidi" w:hAnsiTheme="majorBidi" w:cstheme="majorBidi"/>
        </w:rPr>
        <w:t>have an impact on</w:t>
      </w:r>
      <w:r w:rsidR="006F7614" w:rsidRPr="00AD5722">
        <w:rPr>
          <w:rFonts w:asciiTheme="majorBidi" w:hAnsiTheme="majorBidi" w:cstheme="majorBidi"/>
        </w:rPr>
        <w:t xml:space="preserve"> drug safety. This </w:t>
      </w:r>
      <w:r>
        <w:rPr>
          <w:rFonts w:asciiTheme="majorBidi" w:hAnsiTheme="majorBidi" w:cstheme="majorBidi"/>
        </w:rPr>
        <w:t xml:space="preserve">relationship </w:t>
      </w:r>
      <w:r w:rsidR="006F7614" w:rsidRPr="00AD5722">
        <w:rPr>
          <w:rFonts w:asciiTheme="majorBidi" w:hAnsiTheme="majorBidi" w:cstheme="majorBidi"/>
        </w:rPr>
        <w:t xml:space="preserve">between model outputs and established clinical theory strengthens confidence in the predictive approach </w:t>
      </w:r>
      <w:r>
        <w:rPr>
          <w:rFonts w:asciiTheme="majorBidi" w:hAnsiTheme="majorBidi" w:cstheme="majorBidi"/>
        </w:rPr>
        <w:t xml:space="preserve">described above </w:t>
      </w:r>
      <w:r w:rsidR="006F7614" w:rsidRPr="00AD5722">
        <w:rPr>
          <w:rFonts w:asciiTheme="majorBidi" w:hAnsiTheme="majorBidi" w:cstheme="majorBidi"/>
        </w:rPr>
        <w:t xml:space="preserve">and </w:t>
      </w:r>
      <w:r>
        <w:rPr>
          <w:rFonts w:asciiTheme="majorBidi" w:hAnsiTheme="majorBidi" w:cstheme="majorBidi"/>
        </w:rPr>
        <w:t>can justify integrating</w:t>
      </w:r>
      <w:r w:rsidR="006F7614" w:rsidRPr="00AD5722">
        <w:rPr>
          <w:rFonts w:asciiTheme="majorBidi" w:hAnsiTheme="majorBidi" w:cstheme="majorBidi"/>
        </w:rPr>
        <w:t xml:space="preserve"> laboratory variables into ADR risk assessment</w:t>
      </w:r>
      <w:r w:rsidR="006F7614">
        <w:rPr>
          <w:rFonts w:asciiTheme="majorBidi" w:hAnsiTheme="majorBidi" w:cstheme="majorBidi"/>
        </w:rPr>
        <w:t xml:space="preserve"> </w:t>
      </w:r>
      <w:r w:rsidR="006F7614">
        <w:rPr>
          <w:rFonts w:asciiTheme="majorBidi" w:hAnsiTheme="majorBidi" w:cstheme="majorBidi"/>
        </w:rPr>
        <w:fldChar w:fldCharType="begin"/>
      </w:r>
      <w:r w:rsidR="00A022A5">
        <w:rPr>
          <w:rFonts w:asciiTheme="majorBidi" w:hAnsiTheme="majorBidi" w:cstheme="majorBidi"/>
        </w:rPr>
        <w:instrText xml:space="preserve"> ADDIN ZOTERO_ITEM CSL_CITATION {"citationID":"fVYuK90s","properties":{"formattedCitation":"(Chiu et al., 2024; Datta et al., 2021)","plainCitation":"(Chiu et al., 2024; Datta et al., 2021)","noteIndex":0},"citationItems":[{"id":601,"uris":["http://zotero.org/users/13727123/items/KVWELLBG"],"itemData":{"id":601,"type":"article-journal","container-title":"International Journal of Antimicrobial Agents","DOI":"10.1016/j.ijantimicag.2024.107175","ISSN":"09248579","issue":"1","journalAbbreviation":"International Journal of Antimicrobial Agents","language":"en","page":"107175","source":"DOI.org (Crossref)","title":"Machine learning algorithms to predict colistin-induced nephrotoxicity from electronic health records in patients with multidrug-resistant Gram-negative infection","volume":"64","author":[{"family":"Chiu","given":"Ling-Wan"},{"family":"Ku","given":"Yi-En"},{"family":"Chan","given":"Fan-Ying"},{"family":"Lie","given":"Wen-Nung"},{"family":"Chao","given":"Horng-Jiun"},{"family":"Wang","given":"San-Yuan"},{"family":"Shen","given":"Wan-Chen"},{"family":"Chen","given":"Hsiang-Yin"}],"issued":{"date-parts":[["2024",7]]}}},{"id":603,"uris":["http://zotero.org/users/13727123/items/YEYJ6V9M"],"itemData":{"id":603,"type":"article-journal","abstract":"Drug-drug interactions account for up to 30% of adverse drug reactions. Increasing prevalence of electronic health records (EHRs) offers a unique opportunity to build machine learning algorithms to identify drug-drug interactions that drive adverse events. In this study, we investigated hospitalizations’ data to study drug interactions with non-steroidal anti-inflammatory drugs (NSAIDS) that result in drug-induced liver injury (DILI). We propose a logistic regression based machine learning algorithm that unearths several known interactions from an EHR dataset of about 400,000 hospitalization. Our proposed modeling framework is successful in detecting 87.5% of the positive controls, which are defined by drugs known to interact with diclofenac causing an increased risk of DILI, and correctly ranks aggregate risk of DILI for eight commonly prescribed NSAIDs. We found that our modeling framework is particularly successful in inferring associations of drug-drug interactions from relatively small EHR datasets. Furthermore, we have identified a novel and potentially hepatotoxic interaction that might occur during concomitant use of meloxicam and esomeprazole, which are commonly prescribed together to allay NSAID-induced gastrointestinal (GI) bleeding. Empirically, we validate our approach against prior methods for signal detection on EHR datasets, in which our proposed approach outperforms all the compared methods across most metrics, such as area under the receiver operating characteristic curve (AUROC) and area under the precision-recall curve (AUPRC).","container-title":"PLOS Computational Biology","DOI":"10.1371/journal.pcbi.1009053","ISSN":"1553-7358","issue":"7","journalAbbreviation":"PLoS Comput Biol","language":"en","page":"e1009053","source":"DOI.org (Crossref)","title":"Machine learning liver-injuring drug interactions with non-steroidal anti-inflammatory drugs (NSAIDs) from a retrospective electronic health record (EHR) cohort","volume":"17","author":[{"family":"Datta","given":"Arghya"},{"family":"Flynn","given":"Noah R."},{"family":"Barnette","given":"Dustyn A."},{"family":"Woeltje","given":"Keith F."},{"family":"Miller","given":"Grover P."},{"family":"Swamidass","given":"S. Joshua"}],"editor":[{"family":"Rzhetsky","given":"Andrey"}],"issued":{"date-parts":[["2021",7,6]]}}}],"schema":"https://github.com/citation-style-language/schema/raw/master/csl-citation.json"} </w:instrText>
      </w:r>
      <w:r w:rsidR="006F7614">
        <w:rPr>
          <w:rFonts w:asciiTheme="majorBidi" w:hAnsiTheme="majorBidi" w:cstheme="majorBidi"/>
        </w:rPr>
        <w:fldChar w:fldCharType="separate"/>
      </w:r>
      <w:r w:rsidR="006F7614" w:rsidRPr="00DC1183">
        <w:rPr>
          <w:rFonts w:ascii="Times New Roman" w:hAnsi="Times New Roman" w:cs="Times New Roman"/>
        </w:rPr>
        <w:t>(Chiu et al., 2024; Datta et al., 2021)</w:t>
      </w:r>
      <w:r w:rsidR="006F7614">
        <w:rPr>
          <w:rFonts w:asciiTheme="majorBidi" w:hAnsiTheme="majorBidi" w:cstheme="majorBidi"/>
        </w:rPr>
        <w:fldChar w:fldCharType="end"/>
      </w:r>
      <w:r w:rsidR="006F7614">
        <w:rPr>
          <w:rFonts w:asciiTheme="majorBidi" w:hAnsiTheme="majorBidi" w:cstheme="majorBidi"/>
        </w:rPr>
        <w:t>.</w:t>
      </w:r>
    </w:p>
    <w:p w14:paraId="267F9933" w14:textId="2ED3269B" w:rsidR="006F7614" w:rsidRPr="00AD5722" w:rsidRDefault="000C78E8" w:rsidP="006F7614">
      <w:pPr>
        <w:spacing w:line="360" w:lineRule="auto"/>
        <w:rPr>
          <w:rFonts w:asciiTheme="majorBidi" w:hAnsiTheme="majorBidi" w:cstheme="majorBidi"/>
        </w:rPr>
      </w:pPr>
      <w:r>
        <w:rPr>
          <w:rFonts w:asciiTheme="majorBidi" w:hAnsiTheme="majorBidi" w:cstheme="majorBidi"/>
        </w:rPr>
        <w:t>Nevertheless, s</w:t>
      </w:r>
      <w:r w:rsidR="006F7614" w:rsidRPr="00AD5722">
        <w:rPr>
          <w:rFonts w:asciiTheme="majorBidi" w:hAnsiTheme="majorBidi" w:cstheme="majorBidi"/>
        </w:rPr>
        <w:t>everal limitations of this study should be acknowledged. First, the models were developed and evaluated using data from a single tertiary hospital</w:t>
      </w:r>
      <w:r>
        <w:rPr>
          <w:rFonts w:asciiTheme="majorBidi" w:hAnsiTheme="majorBidi" w:cstheme="majorBidi"/>
        </w:rPr>
        <w:t>. Here, this</w:t>
      </w:r>
      <w:r w:rsidR="006F7614" w:rsidRPr="00AD5722">
        <w:rPr>
          <w:rFonts w:asciiTheme="majorBidi" w:hAnsiTheme="majorBidi" w:cstheme="majorBidi"/>
        </w:rPr>
        <w:t xml:space="preserve"> may </w:t>
      </w:r>
      <w:r>
        <w:rPr>
          <w:rFonts w:asciiTheme="majorBidi" w:hAnsiTheme="majorBidi" w:cstheme="majorBidi"/>
        </w:rPr>
        <w:t>limit the ability to apply this data</w:t>
      </w:r>
      <w:r w:rsidR="006F7614" w:rsidRPr="00AD5722">
        <w:rPr>
          <w:rFonts w:asciiTheme="majorBidi" w:hAnsiTheme="majorBidi" w:cstheme="majorBidi"/>
        </w:rPr>
        <w:t xml:space="preserve"> to other clinical settings or patient populations. </w:t>
      </w:r>
      <w:r>
        <w:rPr>
          <w:rFonts w:asciiTheme="majorBidi" w:hAnsiTheme="majorBidi" w:cstheme="majorBidi"/>
        </w:rPr>
        <w:t>In addition</w:t>
      </w:r>
      <w:r w:rsidR="006F7614" w:rsidRPr="00AD5722">
        <w:rPr>
          <w:rFonts w:asciiTheme="majorBidi" w:hAnsiTheme="majorBidi" w:cstheme="majorBidi"/>
        </w:rPr>
        <w:t>, the dataset contained missing values, resulting in the exclusion of some records during preprocessing. Although appropriate data</w:t>
      </w:r>
      <w:r w:rsidR="006F7614">
        <w:rPr>
          <w:rFonts w:asciiTheme="majorBidi" w:hAnsiTheme="majorBidi" w:cstheme="majorBidi"/>
        </w:rPr>
        <w:t>-</w:t>
      </w:r>
      <w:r w:rsidR="006F7614" w:rsidRPr="00AD5722">
        <w:rPr>
          <w:rFonts w:asciiTheme="majorBidi" w:hAnsiTheme="majorBidi" w:cstheme="majorBidi"/>
        </w:rPr>
        <w:t>cleaning and imputation strategies were applied, this may have reduced the effective sample size and introduced bias.</w:t>
      </w:r>
      <w:r w:rsidR="006F7614">
        <w:rPr>
          <w:rFonts w:asciiTheme="majorBidi" w:hAnsiTheme="majorBidi" w:cstheme="majorBidi"/>
        </w:rPr>
        <w:t xml:space="preserve"> </w:t>
      </w:r>
      <w:r w:rsidR="006F7614" w:rsidRPr="00AD5722">
        <w:rPr>
          <w:rFonts w:asciiTheme="majorBidi" w:hAnsiTheme="majorBidi" w:cstheme="majorBidi"/>
        </w:rPr>
        <w:t xml:space="preserve">Third, ADR identification relied on routinely recorded clinical outcomes, </w:t>
      </w:r>
      <w:r>
        <w:rPr>
          <w:rFonts w:asciiTheme="majorBidi" w:hAnsiTheme="majorBidi" w:cstheme="majorBidi"/>
        </w:rPr>
        <w:t>which could</w:t>
      </w:r>
      <w:r w:rsidR="006F7614" w:rsidRPr="00AD5722">
        <w:rPr>
          <w:rFonts w:asciiTheme="majorBidi" w:hAnsiTheme="majorBidi" w:cstheme="majorBidi"/>
        </w:rPr>
        <w:t xml:space="preserve"> be subject to underreporting or documentation bias</w:t>
      </w:r>
      <w:r>
        <w:rPr>
          <w:rFonts w:asciiTheme="majorBidi" w:hAnsiTheme="majorBidi" w:cstheme="majorBidi"/>
        </w:rPr>
        <w:t xml:space="preserve"> by staff recording data within the hospital setting</w:t>
      </w:r>
      <w:r w:rsidR="006F7614" w:rsidRPr="00AD5722">
        <w:rPr>
          <w:rFonts w:asciiTheme="majorBidi" w:hAnsiTheme="majorBidi" w:cstheme="majorBidi"/>
        </w:rPr>
        <w:t xml:space="preserve">. </w:t>
      </w:r>
      <w:r w:rsidR="006F7614">
        <w:rPr>
          <w:rFonts w:asciiTheme="majorBidi" w:hAnsiTheme="majorBidi" w:cstheme="majorBidi"/>
        </w:rPr>
        <w:t>Finally</w:t>
      </w:r>
      <w:r w:rsidR="006F7614" w:rsidRPr="00AD5722">
        <w:rPr>
          <w:rFonts w:asciiTheme="majorBidi" w:hAnsiTheme="majorBidi" w:cstheme="majorBidi"/>
        </w:rPr>
        <w:t xml:space="preserve">, while SHAP enhances interpretability, the </w:t>
      </w:r>
      <w:r>
        <w:rPr>
          <w:rFonts w:asciiTheme="majorBidi" w:hAnsiTheme="majorBidi" w:cstheme="majorBidi"/>
        </w:rPr>
        <w:t>results</w:t>
      </w:r>
      <w:r w:rsidR="006F7614" w:rsidRPr="00AD5722">
        <w:rPr>
          <w:rFonts w:asciiTheme="majorBidi" w:hAnsiTheme="majorBidi" w:cstheme="majorBidi"/>
        </w:rPr>
        <w:t xml:space="preserve"> remain associative rather than causal and should not be interpreted as definitive mechanisms </w:t>
      </w:r>
      <w:r>
        <w:rPr>
          <w:rFonts w:asciiTheme="majorBidi" w:hAnsiTheme="majorBidi" w:cstheme="majorBidi"/>
        </w:rPr>
        <w:t xml:space="preserve">behind the cause </w:t>
      </w:r>
      <w:r w:rsidR="006F7614" w:rsidRPr="00AD5722">
        <w:rPr>
          <w:rFonts w:asciiTheme="majorBidi" w:hAnsiTheme="majorBidi" w:cstheme="majorBidi"/>
        </w:rPr>
        <w:t xml:space="preserve">of adverse drug reactions. </w:t>
      </w:r>
      <w:r w:rsidR="006F7614" w:rsidRPr="00662A7E">
        <w:rPr>
          <w:rFonts w:asciiTheme="majorBidi" w:hAnsiTheme="majorBidi" w:cstheme="majorBidi"/>
        </w:rPr>
        <w:t>In contrast, recent ADR prediction studies incorporating multicentre cohorts and external validation have demonstrated improved generalisability, underscoring the importance of validating models across diverse clinical settings</w:t>
      </w:r>
      <w:r w:rsidR="006F7614">
        <w:rPr>
          <w:rFonts w:asciiTheme="majorBidi" w:hAnsiTheme="majorBidi" w:cstheme="majorBidi"/>
        </w:rPr>
        <w:t xml:space="preserve"> </w:t>
      </w:r>
      <w:r w:rsidR="006F7614">
        <w:rPr>
          <w:rFonts w:asciiTheme="majorBidi" w:hAnsiTheme="majorBidi" w:cstheme="majorBidi"/>
        </w:rPr>
        <w:fldChar w:fldCharType="begin"/>
      </w:r>
      <w:r w:rsidR="00A022A5">
        <w:rPr>
          <w:rFonts w:asciiTheme="majorBidi" w:hAnsiTheme="majorBidi" w:cstheme="majorBidi"/>
        </w:rPr>
        <w:instrText xml:space="preserve"> ADDIN ZOTERO_ITEM CSL_CITATION {"citationID":"Q2JLOF9r","properties":{"formattedCitation":"(Lu et al., 2023; Van Dung et al., 2025b)","plainCitation":"(Lu et al., 2023; Van Dung et al., 2025b)","noteIndex":0},"citationItems":[{"id":610,"uris":["http://zotero.org/users/13727123/items/HMIM2LJ2"],"itemData":{"id":610,"type":"article-journal","abstract":"Background\n              Machine learning offers new solutions for predicting life-threatening, unpredictable amiodarone-induced thyroid dysfunction. Traditional regression approaches for adverse-effect prediction without time-series consideration of features have yielded suboptimal predictions. Machine learning algorithms with multiple data sets at different time points may generate better performance in predicting adverse effects.\n            \n            \n              Objective\n              We aimed to develop and validate machine learning models for forecasting individualized amiodarone-induced thyroid dysfunction risk and to optimize a machine learning–based risk stratification scheme with a resampling method and readjustment of the clinically derived decision thresholds.\n            \n            \n              Methods\n              This study developed machine learning models using multicenter, delinked electronic health records. It included patients receiving amiodarone from January 2013 to December 2017. The training set was composed of data from Taipei Medical University Hospital and Wan Fang Hospital, while data from Taipei Medical University Shuang Ho Hospital were used as the external test set. The study collected stationary features at baseline and dynamic features at the first, second, third, sixth, ninth, 12th, 15th, 18th, and 21st months after amiodarone initiation. We used 16 machine learning models, including extreme gradient boosting, adaptive boosting, k-nearest neighbor, and logistic regression models, along with an original resampling method and 3 other resampling methods, including oversampling with the borderline-synthesized minority oversampling technique, undersampling–edited nearest neighbor, and over- and undersampling hybrid methods. The model performance was compared based on accuracy; Precision, recall, F1-score, geometric mean, area under the curve of the receiver operating characteristic curve (AUROC), and the area under the precision-recall curve (AUPRC). Feature importance was determined by the best model. The decision threshold was readjusted to identify the best cutoff value and a Kaplan-Meier survival analysis was performed.\n            \n            \n              Results\n              The training set contained 4075 patients from Taipei Medical University Hospital and Wan Fang Hospital, of whom 583 (14.3%) developed amiodarone-induced thyroid dysfunction, while the external test set included 2422 patients from Taipei Medical University Shuang Ho Hospital, of whom 275 (11.4%) developed amiodarone-induced thyroid dysfunction. The extreme gradient boosting oversampling machine learning model demonstrated the best predictive outcomes among all 16 models. The accuracy; Precision, recall, F1-score, G-mean, AUPRC, and AUROC were 0.923, 0.632, 0.756, 0.688, 0.845, 0.751, and 0.934, respectively. After readjusting the cutoff, the best value was 0.627, and the F1-score reached 0.699. The best threshold was able to classify 286 of 2422 patients (11.8%) as high-risk subjects, among which 275 were true-positive patients in the testing set. A shorter treatment duration; higher levels of thyroid-stimulating hormone and high-density lipoprotein cholesterol; and lower levels of free thyroxin, alkaline phosphatase, and low-density lipoprotein were the most important features.\n            \n            \n              Conclusions\n              Machine learning models combined with resampling methods can predict amiodarone-induced thyroid dysfunction and serve as a support tool for individualized risk prediction and clinical decision support.","container-title":"Journal of Medical Internet Research","DOI":"10.2196/43734","ISSN":"1438-8871","journalAbbreviation":"J Med Internet Res","language":"en","page":"e43734","source":"DOI.org (Crossref)","title":"Explainable Machine Learning Techniques To Predict Amiodarone-Induced Thyroid Dysfunction Risk: Multicenter, Retrospective Study With External Validation","title-short":"Explainable Machine Learning Techniques To Predict Amiodarone-Induced Thyroid Dysfunction Risk","volume":"25","author":[{"family":"Lu","given":"Ya-Ting"},{"family":"Chao","given":"Horng-Jiun"},{"family":"Chiang","given":"Yi-Chun"},{"family":"Chen","given":"Hsiang-Yin"}],"issued":{"date-parts":[["2023",2,7]]}}},{"id":"EtHRhwhX/7xDABOwe","uris":["http://zotero.org/users/13727123/items/Y66Q2KZV"],"itemData":{"id":602,"type":"article-journal","container-title":"BMC Medical Informatics and Decision Making","DOI":"10.1186/s12911-025-03107-3","ISSN":"1472-6947","issue":"1","journalAbbreviation":"BMC Med Inform Decis Mak","language":"en","page":"265","source":"DOI.org (Crossref)","title":"Development and external validation of a machine learning model for predicting drug-induced immune thrombocytopenia in a real-world hospital cohort","volume":"25","author":[{"family":"Van Dung","given":"Hoang"},{"family":"Tan","given":"Vu Manh"},{"family":"Dieu","given":"Nguyen Thi"},{"family":"Van Linh","given":"Pham"},{"family":"Van Khai","given":"Nguyen"},{"family":"Ngan","given":"Tran Thi"},{"family":"Phuong","given":"Nguyen Thi Thu"}],"issued":{"date-parts":[["2025",7,15]]}}}],"schema":"https://github.com/citation-style-language/schema/raw/master/csl-citation.json"} </w:instrText>
      </w:r>
      <w:r w:rsidR="006F7614">
        <w:rPr>
          <w:rFonts w:asciiTheme="majorBidi" w:hAnsiTheme="majorBidi" w:cstheme="majorBidi"/>
        </w:rPr>
        <w:fldChar w:fldCharType="separate"/>
      </w:r>
      <w:r w:rsidR="006F7614" w:rsidRPr="00662A7E">
        <w:rPr>
          <w:rFonts w:ascii="Times New Roman" w:hAnsi="Times New Roman" w:cs="Times New Roman"/>
        </w:rPr>
        <w:t>(Lu et al., 2023; Van Dung et al., 2025b)</w:t>
      </w:r>
      <w:r w:rsidR="006F7614">
        <w:rPr>
          <w:rFonts w:asciiTheme="majorBidi" w:hAnsiTheme="majorBidi" w:cstheme="majorBidi"/>
        </w:rPr>
        <w:fldChar w:fldCharType="end"/>
      </w:r>
      <w:r w:rsidR="006F7614">
        <w:rPr>
          <w:rFonts w:asciiTheme="majorBidi" w:hAnsiTheme="majorBidi" w:cstheme="majorBidi"/>
        </w:rPr>
        <w:t xml:space="preserve">. </w:t>
      </w:r>
      <w:r w:rsidR="006F7614" w:rsidRPr="00AD5722">
        <w:rPr>
          <w:rFonts w:asciiTheme="majorBidi" w:hAnsiTheme="majorBidi" w:cstheme="majorBidi"/>
        </w:rPr>
        <w:t>These limitations highlight the need for cautious interpretation and external validation before</w:t>
      </w:r>
      <w:r>
        <w:rPr>
          <w:rFonts w:asciiTheme="majorBidi" w:hAnsiTheme="majorBidi" w:cstheme="majorBidi"/>
        </w:rPr>
        <w:t xml:space="preserve"> introduction to a clinical environment </w:t>
      </w:r>
      <w:r w:rsidR="006F7614">
        <w:rPr>
          <w:rFonts w:asciiTheme="majorBidi" w:hAnsiTheme="majorBidi" w:cstheme="majorBidi"/>
        </w:rPr>
        <w:fldChar w:fldCharType="begin"/>
      </w:r>
      <w:r w:rsidR="00A022A5">
        <w:rPr>
          <w:rFonts w:asciiTheme="majorBidi" w:hAnsiTheme="majorBidi" w:cstheme="majorBidi"/>
        </w:rPr>
        <w:instrText xml:space="preserve"> ADDIN ZOTERO_ITEM CSL_CITATION {"citationID":"bbEhpf0E","properties":{"formattedCitation":"(Kim et al., 2020; Wolff et al., 2023b)","plainCitation":"(Kim et al., 2020; Wolff et al., 2023b)","noteIndex":0},"citationItems":[{"id":605,"uris":["http://zotero.org/users/13727123/items/927LIIUS"],"itemData":{"id":605,"type":"article-journal","abstract":"Background\n              Methylphenidate, a stimulant used to treat attention deficit hyperactivity disorder, has the potential to be used nonmedically, such as for studying and recreation. In an era when many people actively use social networking services, experience with the nonmedical use or side effects of methylphenidate might be shared on Twitter.\n            \n            \n              Objective\n              The purpose of this study was to analyze tweets about the nonmedical use and side effects of methylphenidate using a machine learning approach.\n            \n            \n              Methods\n              A total of 34,293 tweets mentioning methylphenidate from August 2018 to July 2019 were collected using searches for “methylphenidate” and its brand names. Tweets in a randomly selected training dataset (6860/34,293, 20.00%) were annotated as positive or negative for two dependent variables: nonmedical use and side effects. Features such as personal noun, nonmedical use terms, medical use terms, side effect terms, sentiment scores, and the presence of a URL were generated for supervised learning. Using the labeled training dataset and features, support vector machine (SVM) classifiers were built and the performance was evaluated using F1 scores. The classifiers were applied to the test dataset to determine the number of tweets about nonmedical use and side effects.\n            \n            \n              Results\n              Of the 6860 tweets in the training dataset, 5.19% (356/6860) and 5.52% (379/6860) were about nonmedical use and side effects, respectively. Performance of SVM classifiers for nonmedical use and side effects, expressed as F1 scores, were 0.547 (precision: 0.926, recall: 0.388, and accuracy: 0.967) and 0.733 (precision: 0.920, recall: 0.609, and accuracy: 0.976), respectively. In the test dataset, the SVM classifiers identified 361 tweets (1.32%) about nonmedical use and 519 tweets (1.89%) about side effects. The proportion of tweets about nonmedical use was highest in May 2019 (46/2624, 1.75%) and December 2018 (36/2041, 1.76%).\n            \n            \n              Conclusions\n              The SVM classifiers that were built in this study were highly precise and accurate and will help to automatically identify the nonmedical use and side effects of methylphenidate using Twitter.","container-title":"Journal of Medical Internet Research","DOI":"10.2196/16466","ISSN":"1438-8871","issue":"2","journalAbbreviation":"J Med Internet Res","language":"en","page":"e16466","source":"DOI.org (Crossref)","title":"Twitter Analysis of the Nonmedical Use and Side Effects of Methylphenidate: Machine Learning Study","title-short":"Twitter Analysis of the Nonmedical Use and Side Effects of Methylphenidate","volume":"22","author":[{"family":"Kim","given":"Myeong Gyu"},{"family":"Kim","given":"Jungu"},{"family":"Kim","given":"Su Cheol"},{"family":"Jeong","given":"Jaegwon"}],"issued":{"date-parts":[["2020",2,24]]}}},{"id":600,"uris":["http://zotero.org/users/13727123/items/GA3V5NSW"],"itemData":{"id":600,"type":"article-journal","container-title":"Procedia Computer Science","DOI":"10.1016/j.procs.2023.09.087","ISSN":"18770509","journalAbbreviation":"Procedia Computer Science","language":"en","page":"22-31","source":"DOI.org (Crossref)","title":"Machine Learning Methods for Predicting Adverse Drug Reactions in Hospitalized Patients","volume":"225","author":[{"family":"Wolff","given":"Patricio"},{"family":"Ríos","given":"Sebastián A."},{"family":"Gonzáles","given":"Claudio"}],"issued":{"date-parts":[["2023"]]}}}],"schema":"https://github.com/citation-style-language/schema/raw/master/csl-citation.json"} </w:instrText>
      </w:r>
      <w:r w:rsidR="006F7614">
        <w:rPr>
          <w:rFonts w:asciiTheme="majorBidi" w:hAnsiTheme="majorBidi" w:cstheme="majorBidi"/>
        </w:rPr>
        <w:fldChar w:fldCharType="separate"/>
      </w:r>
      <w:r w:rsidR="006F7614" w:rsidRPr="00BB35CA">
        <w:rPr>
          <w:rFonts w:ascii="Times New Roman" w:hAnsi="Times New Roman" w:cs="Times New Roman"/>
        </w:rPr>
        <w:t>(Kim et al., 2020; Wolff et al., 2023b)</w:t>
      </w:r>
      <w:r w:rsidR="006F7614">
        <w:rPr>
          <w:rFonts w:asciiTheme="majorBidi" w:hAnsiTheme="majorBidi" w:cstheme="majorBidi"/>
        </w:rPr>
        <w:fldChar w:fldCharType="end"/>
      </w:r>
      <w:r w:rsidR="006F7614">
        <w:rPr>
          <w:rFonts w:asciiTheme="majorBidi" w:hAnsiTheme="majorBidi" w:cstheme="majorBidi"/>
        </w:rPr>
        <w:t>.</w:t>
      </w:r>
    </w:p>
    <w:p w14:paraId="0824F087" w14:textId="7C394541"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Although overall predictive performance was comparable between Logistic Regression and SVC, important differences emerged in</w:t>
      </w:r>
      <w:r w:rsidR="000C78E8">
        <w:rPr>
          <w:rFonts w:asciiTheme="majorBidi" w:hAnsiTheme="majorBidi" w:cstheme="majorBidi"/>
        </w:rPr>
        <w:t xml:space="preserve"> interpretation and the potential of clinical application.</w:t>
      </w:r>
      <w:r w:rsidRPr="00AD5722">
        <w:rPr>
          <w:rFonts w:asciiTheme="majorBidi" w:hAnsiTheme="majorBidi" w:cstheme="majorBidi"/>
        </w:rPr>
        <w:t xml:space="preserve"> Logistic Regression offers transparent</w:t>
      </w:r>
      <w:r>
        <w:rPr>
          <w:rFonts w:asciiTheme="majorBidi" w:hAnsiTheme="majorBidi" w:cstheme="majorBidi"/>
        </w:rPr>
        <w:t>,</w:t>
      </w:r>
      <w:r w:rsidRPr="00AD5722">
        <w:rPr>
          <w:rFonts w:asciiTheme="majorBidi" w:hAnsiTheme="majorBidi" w:cstheme="majorBidi"/>
        </w:rPr>
        <w:t xml:space="preserve"> coefficient-based explanations that are easily communicated to clinicians and stakeholders. When combined with explainability techniques such as SHAP, LR facilitates </w:t>
      </w:r>
      <w:r>
        <w:rPr>
          <w:rFonts w:asciiTheme="majorBidi" w:hAnsiTheme="majorBidi" w:cstheme="majorBidi"/>
        </w:rPr>
        <w:t xml:space="preserve">a </w:t>
      </w:r>
      <w:r w:rsidRPr="00AD5722">
        <w:rPr>
          <w:rFonts w:asciiTheme="majorBidi" w:hAnsiTheme="majorBidi" w:cstheme="majorBidi"/>
        </w:rPr>
        <w:t xml:space="preserve">clear understanding of how individual features contribute to risk predictions. In contrast, SVC models are inherently less interpretable, which may </w:t>
      </w:r>
      <w:r w:rsidR="000C78E8">
        <w:rPr>
          <w:rFonts w:asciiTheme="majorBidi" w:hAnsiTheme="majorBidi" w:cstheme="majorBidi"/>
        </w:rPr>
        <w:t xml:space="preserve">reduce their acceptance in clinical settings where accountability and explanations are essential to patient care. As seen above, </w:t>
      </w:r>
      <w:r w:rsidRPr="00AD5722">
        <w:rPr>
          <w:rFonts w:asciiTheme="majorBidi" w:hAnsiTheme="majorBidi" w:cstheme="majorBidi"/>
        </w:rPr>
        <w:t>SVC demonstrated competitive performance</w:t>
      </w:r>
      <w:r w:rsidR="000C78E8">
        <w:rPr>
          <w:rFonts w:asciiTheme="majorBidi" w:hAnsiTheme="majorBidi" w:cstheme="majorBidi"/>
        </w:rPr>
        <w:t>; however,</w:t>
      </w:r>
      <w:r w:rsidRPr="00AD5722">
        <w:rPr>
          <w:rFonts w:asciiTheme="majorBidi" w:hAnsiTheme="majorBidi" w:cstheme="majorBidi"/>
        </w:rPr>
        <w:t xml:space="preserve"> its relative opacity reduces its suitability for </w:t>
      </w:r>
      <w:r w:rsidR="000C78E8" w:rsidRPr="00AD5722">
        <w:rPr>
          <w:rFonts w:asciiTheme="majorBidi" w:hAnsiTheme="majorBidi" w:cstheme="majorBidi"/>
        </w:rPr>
        <w:t>utili</w:t>
      </w:r>
      <w:r w:rsidR="000C78E8">
        <w:rPr>
          <w:rFonts w:asciiTheme="majorBidi" w:hAnsiTheme="majorBidi" w:cstheme="majorBidi"/>
        </w:rPr>
        <w:t>s</w:t>
      </w:r>
      <w:r w:rsidR="000C78E8" w:rsidRPr="00AD5722">
        <w:rPr>
          <w:rFonts w:asciiTheme="majorBidi" w:hAnsiTheme="majorBidi" w:cstheme="majorBidi"/>
        </w:rPr>
        <w:t>ation</w:t>
      </w:r>
      <w:r w:rsidRPr="00AD5722">
        <w:rPr>
          <w:rFonts w:asciiTheme="majorBidi" w:hAnsiTheme="majorBidi" w:cstheme="majorBidi"/>
        </w:rPr>
        <w:t xml:space="preserve"> as a clinical decision-support tool.</w:t>
      </w:r>
      <w:r>
        <w:rPr>
          <w:rFonts w:asciiTheme="majorBidi" w:hAnsiTheme="majorBidi" w:cstheme="majorBidi"/>
        </w:rPr>
        <w:t xml:space="preserve"> </w:t>
      </w:r>
      <w:r w:rsidRPr="00FA7D8D">
        <w:rPr>
          <w:rFonts w:asciiTheme="majorBidi" w:hAnsiTheme="majorBidi" w:cstheme="majorBidi"/>
        </w:rPr>
        <w:t xml:space="preserve">This preference for transparent models is consistent with prior pharmacovigilance research, </w:t>
      </w:r>
      <w:r w:rsidRPr="00FA7D8D">
        <w:rPr>
          <w:rFonts w:asciiTheme="majorBidi" w:hAnsiTheme="majorBidi" w:cstheme="majorBidi"/>
        </w:rPr>
        <w:lastRenderedPageBreak/>
        <w:t xml:space="preserve">which has highlighted </w:t>
      </w:r>
      <w:r w:rsidR="009B008B">
        <w:rPr>
          <w:rFonts w:asciiTheme="majorBidi" w:hAnsiTheme="majorBidi" w:cstheme="majorBidi"/>
        </w:rPr>
        <w:t xml:space="preserve">interpretation </w:t>
      </w:r>
      <w:r w:rsidRPr="00FA7D8D">
        <w:rPr>
          <w:rFonts w:asciiTheme="majorBidi" w:hAnsiTheme="majorBidi" w:cstheme="majorBidi"/>
        </w:rPr>
        <w:t>as a prerequisite for clinician trust, regulatory accepta</w:t>
      </w:r>
      <w:r w:rsidR="009B008B">
        <w:rPr>
          <w:rFonts w:asciiTheme="majorBidi" w:hAnsiTheme="majorBidi" w:cstheme="majorBidi"/>
        </w:rPr>
        <w:t>nce</w:t>
      </w:r>
      <w:r w:rsidRPr="00FA7D8D">
        <w:rPr>
          <w:rFonts w:asciiTheme="majorBidi" w:hAnsiTheme="majorBidi" w:cstheme="majorBidi"/>
        </w:rPr>
        <w:t>, and</w:t>
      </w:r>
      <w:r>
        <w:rPr>
          <w:rFonts w:asciiTheme="majorBidi" w:hAnsiTheme="majorBidi" w:cstheme="majorBidi"/>
        </w:rPr>
        <w:t xml:space="preserve"> the</w:t>
      </w:r>
      <w:r w:rsidRPr="00FA7D8D">
        <w:rPr>
          <w:rFonts w:asciiTheme="majorBidi" w:hAnsiTheme="majorBidi" w:cstheme="majorBidi"/>
        </w:rPr>
        <w:t xml:space="preserve"> </w:t>
      </w:r>
      <w:r w:rsidR="009B008B">
        <w:rPr>
          <w:rFonts w:asciiTheme="majorBidi" w:hAnsiTheme="majorBidi" w:cstheme="majorBidi"/>
        </w:rPr>
        <w:t>efficient use</w:t>
      </w:r>
      <w:r w:rsidRPr="00FA7D8D">
        <w:rPr>
          <w:rFonts w:asciiTheme="majorBidi" w:hAnsiTheme="majorBidi" w:cstheme="majorBidi"/>
        </w:rPr>
        <w:t xml:space="preserve"> of machine learning systems in healthcare settings</w:t>
      </w:r>
      <w:r>
        <w:rPr>
          <w:rFonts w:asciiTheme="majorBidi" w:hAnsiTheme="majorBidi" w:cstheme="majorBidi"/>
        </w:rPr>
        <w:t xml:space="preserve"> </w:t>
      </w:r>
      <w:r>
        <w:rPr>
          <w:rFonts w:asciiTheme="majorBidi" w:hAnsiTheme="majorBidi" w:cstheme="majorBidi"/>
        </w:rPr>
        <w:fldChar w:fldCharType="begin"/>
      </w:r>
      <w:r w:rsidR="00A022A5">
        <w:rPr>
          <w:rFonts w:asciiTheme="majorBidi" w:hAnsiTheme="majorBidi" w:cstheme="majorBidi"/>
        </w:rPr>
        <w:instrText xml:space="preserve"> ADDIN ZOTERO_ITEM CSL_CITATION {"citationID":"sfir12DV","properties":{"formattedCitation":"(Ietswaart et al., 2020; Tan et al., 2022)","plainCitation":"(Ietswaart et al., 2020; Tan et al., 2022)","noteIndex":0},"citationItems":[{"id":"EtHRhwhX/kadwbqEK","uris":["http://zotero.org/users/13727123/items/KBKWG3JP"],"itemData":{"id":608,"type":"article-journal","container-title":"EBioMedicine","DOI":"10.1016/j.ebiom.2020.102837","ISSN":"23523964","journalAbbreviation":"EBioMedicine","language":"en","page":"102837","source":"DOI.org (Crossref)","title":"Machine learning guided association of adverse drug reactions with in vitro target-based pharmacology","volume":"57","author":[{"family":"Ietswaart","given":"Robert"},{"family":"Arat","given":"Seda"},{"family":"Chen","given":"Amanda X."},{"family":"Farahmand","given":"Saman"},{"family":"Kim","given":"Bumjun"},{"family":"DuMouchel","given":"William"},{"family":"Armstrong","given":"Duncan"},{"family":"Fekete","given":"Alexander"},{"family":"Sutherland","given":"Jeffrey J."},{"family":"Urban","given":"Laszlo"}],"issued":{"date-parts":[["2020",7]]}}},{"id":607,"uris":["http://zotero.org/users/13727123/items/VBIHKDYZ"],"itemData":{"id":607,"type":"article-journal","container-title":"Drug Safety","DOI":"10.1007/s40264-022-01196-x","ISSN":"0114-5916, 1179-1942","issue":"8","journalAbbreviation":"Drug Saf","language":"en","page":"853-862","source":"DOI.org (Crossref)","title":"Combining Machine Learning with a Rule-Based Algorithm to Detect and Identify Related Entities of Documented Adverse Drug Reactions on Hospital Discharge Summaries","volume":"45","author":[{"family":"Tan","given":"Hui Xing"},{"family":"Teo","given":"Chun Hwee Desmond"},{"family":"Ang","given":"Pei San"},{"family":"Loke","given":"Wei Ping Celine"},{"family":"Tham","given":"Mun Yee"},{"family":"Tan","given":"Siew Har"},{"family":"Soh","given":"Bee Leng Sally"},{"family":"Foo","given":"Pei Qin Belinda"},{"family":"Ling","given":"Zheng Jye"},{"family":"Yip","given":"Wei Luen James"},{"family":"Tang","given":"Yixuan"},{"family":"Yang","given":"Jisong"},{"family":"Tung","given":"Kum Hoe Anthony"},{"family":"Dorajoo","given":"Sreemanee Raaj"}],"issued":{"date-parts":[["2022",8]]}}}],"schema":"https://github.com/citation-style-language/schema/raw/master/csl-citation.json"} </w:instrText>
      </w:r>
      <w:r>
        <w:rPr>
          <w:rFonts w:asciiTheme="majorBidi" w:hAnsiTheme="majorBidi" w:cstheme="majorBidi"/>
        </w:rPr>
        <w:fldChar w:fldCharType="separate"/>
      </w:r>
      <w:r w:rsidRPr="00FA7D8D">
        <w:rPr>
          <w:rFonts w:ascii="Times New Roman" w:hAnsi="Times New Roman" w:cs="Times New Roman"/>
        </w:rPr>
        <w:t>(Ietswaart et al., 2020; Tan et al., 2022)</w:t>
      </w:r>
      <w:r>
        <w:rPr>
          <w:rFonts w:asciiTheme="majorBidi" w:hAnsiTheme="majorBidi" w:cstheme="majorBidi"/>
        </w:rPr>
        <w:fldChar w:fldCharType="end"/>
      </w:r>
      <w:r>
        <w:rPr>
          <w:rFonts w:asciiTheme="majorBidi" w:hAnsiTheme="majorBidi" w:cstheme="majorBidi"/>
        </w:rPr>
        <w:t>.</w:t>
      </w:r>
    </w:p>
    <w:p w14:paraId="0C2C2AF6" w14:textId="210C269E" w:rsidR="006F7614" w:rsidRPr="00AD5722" w:rsidRDefault="006F7614" w:rsidP="006F7614">
      <w:pPr>
        <w:spacing w:line="360" w:lineRule="auto"/>
        <w:rPr>
          <w:rFonts w:asciiTheme="majorBidi" w:hAnsiTheme="majorBidi" w:cstheme="majorBidi"/>
        </w:rPr>
      </w:pPr>
      <w:r>
        <w:rPr>
          <w:rFonts w:asciiTheme="majorBidi" w:hAnsiTheme="majorBidi" w:cstheme="majorBidi"/>
          <w:kern w:val="0"/>
          <w14:ligatures w14:val="none"/>
        </w:rPr>
        <w:t xml:space="preserve">From a practical perspective, the findings suggest that Logistic Regression offers a better balance </w:t>
      </w:r>
      <w:r w:rsidR="00BB7043">
        <w:rPr>
          <w:rFonts w:asciiTheme="majorBidi" w:hAnsiTheme="majorBidi" w:cstheme="majorBidi"/>
          <w:kern w:val="0"/>
          <w14:ligatures w14:val="none"/>
        </w:rPr>
        <w:t>of the goals mentioned previously</w:t>
      </w:r>
      <w:r>
        <w:rPr>
          <w:rFonts w:asciiTheme="majorBidi" w:hAnsiTheme="majorBidi" w:cstheme="majorBidi"/>
          <w:kern w:val="0"/>
          <w14:ligatures w14:val="none"/>
        </w:rPr>
        <w:t xml:space="preserve">. </w:t>
      </w:r>
      <w:r w:rsidR="00BB7043">
        <w:rPr>
          <w:rFonts w:asciiTheme="majorBidi" w:hAnsiTheme="majorBidi" w:cstheme="majorBidi"/>
          <w:kern w:val="0"/>
          <w14:ligatures w14:val="none"/>
        </w:rPr>
        <w:t>As stated, i</w:t>
      </w:r>
      <w:r>
        <w:rPr>
          <w:rFonts w:asciiTheme="majorBidi" w:hAnsiTheme="majorBidi" w:cstheme="majorBidi"/>
          <w:kern w:val="0"/>
          <w14:ligatures w14:val="none"/>
        </w:rPr>
        <w:t>n real-world healthcare settings</w:t>
      </w:r>
      <w:r w:rsidR="00BB7043">
        <w:rPr>
          <w:rFonts w:asciiTheme="majorBidi" w:hAnsiTheme="majorBidi" w:cstheme="majorBidi"/>
          <w:kern w:val="0"/>
          <w14:ligatures w14:val="none"/>
        </w:rPr>
        <w:t>,</w:t>
      </w:r>
      <w:r>
        <w:rPr>
          <w:rFonts w:asciiTheme="majorBidi" w:hAnsiTheme="majorBidi" w:cstheme="majorBidi"/>
          <w:kern w:val="0"/>
          <w14:ligatures w14:val="none"/>
        </w:rPr>
        <w:t xml:space="preserve"> models must not only perform adequately but also be truste</w:t>
      </w:r>
      <w:r w:rsidR="00BB7043">
        <w:rPr>
          <w:rFonts w:asciiTheme="majorBidi" w:hAnsiTheme="majorBidi" w:cstheme="majorBidi"/>
          <w:kern w:val="0"/>
          <w14:ligatures w14:val="none"/>
        </w:rPr>
        <w:t xml:space="preserve">d and </w:t>
      </w:r>
      <w:r>
        <w:rPr>
          <w:rFonts w:asciiTheme="majorBidi" w:hAnsiTheme="majorBidi" w:cstheme="majorBidi"/>
          <w:kern w:val="0"/>
          <w14:ligatures w14:val="none"/>
        </w:rPr>
        <w:t>understood</w:t>
      </w:r>
      <w:r w:rsidR="00BB7043">
        <w:rPr>
          <w:rFonts w:asciiTheme="majorBidi" w:hAnsiTheme="majorBidi" w:cstheme="majorBidi"/>
          <w:kern w:val="0"/>
          <w14:ligatures w14:val="none"/>
        </w:rPr>
        <w:t xml:space="preserve"> </w:t>
      </w:r>
      <w:r>
        <w:rPr>
          <w:rFonts w:asciiTheme="majorBidi" w:hAnsiTheme="majorBidi" w:cstheme="majorBidi"/>
          <w:kern w:val="0"/>
          <w14:ligatures w14:val="none"/>
        </w:rPr>
        <w:t>by clinicians. The transparency of Logistic Regression</w:t>
      </w:r>
      <w:r w:rsidR="00061A24">
        <w:rPr>
          <w:rFonts w:asciiTheme="majorBidi" w:hAnsiTheme="majorBidi" w:cstheme="majorBidi"/>
          <w:kern w:val="0"/>
          <w14:ligatures w14:val="none"/>
        </w:rPr>
        <w:t xml:space="preserve"> supports</w:t>
      </w:r>
      <w:r>
        <w:rPr>
          <w:rFonts w:asciiTheme="majorBidi" w:hAnsiTheme="majorBidi" w:cstheme="majorBidi"/>
          <w:kern w:val="0"/>
          <w14:ligatures w14:val="none"/>
        </w:rPr>
        <w:t xml:space="preserve"> integration into clinical </w:t>
      </w:r>
      <w:r w:rsidR="00061A24">
        <w:rPr>
          <w:rFonts w:asciiTheme="majorBidi" w:hAnsiTheme="majorBidi" w:cstheme="majorBidi"/>
          <w:kern w:val="0"/>
          <w14:ligatures w14:val="none"/>
        </w:rPr>
        <w:t>systems</w:t>
      </w:r>
      <w:r>
        <w:rPr>
          <w:rFonts w:asciiTheme="majorBidi" w:hAnsiTheme="majorBidi" w:cstheme="majorBidi"/>
          <w:kern w:val="0"/>
          <w14:ligatures w14:val="none"/>
        </w:rPr>
        <w:t>, facilitate</w:t>
      </w:r>
      <w:r w:rsidR="00061A24">
        <w:rPr>
          <w:rFonts w:asciiTheme="majorBidi" w:hAnsiTheme="majorBidi" w:cstheme="majorBidi"/>
          <w:kern w:val="0"/>
          <w14:ligatures w14:val="none"/>
        </w:rPr>
        <w:t>s</w:t>
      </w:r>
      <w:r>
        <w:rPr>
          <w:rFonts w:asciiTheme="majorBidi" w:hAnsiTheme="majorBidi" w:cstheme="majorBidi"/>
          <w:kern w:val="0"/>
          <w14:ligatures w14:val="none"/>
        </w:rPr>
        <w:t xml:space="preserve"> auditing, and align</w:t>
      </w:r>
      <w:r w:rsidR="00061A24">
        <w:rPr>
          <w:rFonts w:asciiTheme="majorBidi" w:hAnsiTheme="majorBidi" w:cstheme="majorBidi"/>
          <w:kern w:val="0"/>
          <w14:ligatures w14:val="none"/>
        </w:rPr>
        <w:t>s</w:t>
      </w:r>
      <w:r>
        <w:rPr>
          <w:rFonts w:asciiTheme="majorBidi" w:hAnsiTheme="majorBidi" w:cstheme="majorBidi"/>
          <w:kern w:val="0"/>
          <w14:ligatures w14:val="none"/>
        </w:rPr>
        <w:t xml:space="preserve"> with regulatory expectations for </w:t>
      </w:r>
      <w:r w:rsidR="00061A24">
        <w:rPr>
          <w:rFonts w:asciiTheme="majorBidi" w:hAnsiTheme="majorBidi" w:cstheme="majorBidi"/>
          <w:kern w:val="0"/>
          <w14:ligatures w14:val="none"/>
        </w:rPr>
        <w:t>reasonable</w:t>
      </w:r>
      <w:r>
        <w:rPr>
          <w:rFonts w:asciiTheme="majorBidi" w:hAnsiTheme="majorBidi" w:cstheme="majorBidi"/>
          <w:kern w:val="0"/>
          <w14:ligatures w14:val="none"/>
        </w:rPr>
        <w:t xml:space="preserve"> artificial intelligence </w:t>
      </w:r>
      <w:r w:rsidR="00061A24">
        <w:rPr>
          <w:rFonts w:asciiTheme="majorBidi" w:hAnsiTheme="majorBidi" w:cstheme="majorBidi"/>
          <w:kern w:val="0"/>
          <w14:ligatures w14:val="none"/>
        </w:rPr>
        <w:t xml:space="preserve">use </w:t>
      </w:r>
      <w:r>
        <w:rPr>
          <w:rFonts w:asciiTheme="majorBidi" w:hAnsiTheme="majorBidi" w:cstheme="majorBidi"/>
          <w:kern w:val="0"/>
          <w14:ligatures w14:val="none"/>
        </w:rPr>
        <w:t>in healthcare. These considerations justify selecting Logistic Regression as the preferred model despite similar performance metrics. Importantly, the proposed models are intended to support decision-making by assisting clinicians in identifying high-risk patients, rather than replacing clinical judgement</w:t>
      </w:r>
      <w:r w:rsidR="00061A24">
        <w:rPr>
          <w:rFonts w:asciiTheme="majorBidi" w:hAnsiTheme="majorBidi" w:cstheme="majorBidi"/>
          <w:kern w:val="0"/>
          <w14:ligatures w14:val="none"/>
        </w:rPr>
        <w:t xml:space="preserve"> completely. </w:t>
      </w:r>
    </w:p>
    <w:p w14:paraId="1578D086" w14:textId="368763A2" w:rsidR="006F7614" w:rsidRDefault="006F7614" w:rsidP="006F7614">
      <w:pPr>
        <w:spacing w:line="360" w:lineRule="auto"/>
        <w:rPr>
          <w:rFonts w:asciiTheme="majorBidi" w:hAnsiTheme="majorBidi" w:cstheme="majorBidi"/>
        </w:rPr>
      </w:pPr>
      <w:r w:rsidRPr="00AD5722">
        <w:rPr>
          <w:rFonts w:asciiTheme="majorBidi" w:hAnsiTheme="majorBidi" w:cstheme="majorBidi"/>
        </w:rPr>
        <w:t xml:space="preserve">Overall, this study demonstrates that meaningful evaluation of ADR prediction models requires consideration of clinical context, interpretability, and safety implications alongside traditional performance metrics. By integrating SHAP-based explanations with model evaluation, the study provides insight into </w:t>
      </w:r>
      <w:r w:rsidRPr="00662A7E">
        <w:rPr>
          <w:rFonts w:asciiTheme="majorBidi" w:hAnsiTheme="majorBidi" w:cstheme="majorBidi"/>
        </w:rPr>
        <w:t>how well</w:t>
      </w:r>
      <w:r w:rsidRPr="00AD5722">
        <w:rPr>
          <w:rFonts w:asciiTheme="majorBidi" w:hAnsiTheme="majorBidi" w:cstheme="majorBidi"/>
        </w:rPr>
        <w:t xml:space="preserve"> the models perform an</w:t>
      </w:r>
      <w:r w:rsidR="00024162">
        <w:rPr>
          <w:rFonts w:asciiTheme="majorBidi" w:hAnsiTheme="majorBidi" w:cstheme="majorBidi"/>
        </w:rPr>
        <w:t>d why we</w:t>
      </w:r>
      <w:r w:rsidRPr="00AD5722">
        <w:rPr>
          <w:rFonts w:asciiTheme="majorBidi" w:hAnsiTheme="majorBidi" w:cstheme="majorBidi"/>
        </w:rPr>
        <w:t xml:space="preserve"> make </w:t>
      </w:r>
      <w:r w:rsidR="00024162">
        <w:rPr>
          <w:rFonts w:asciiTheme="majorBidi" w:hAnsiTheme="majorBidi" w:cstheme="majorBidi"/>
        </w:rPr>
        <w:t>certain</w:t>
      </w:r>
      <w:r w:rsidRPr="00AD5722">
        <w:rPr>
          <w:rFonts w:asciiTheme="majorBidi" w:hAnsiTheme="majorBidi" w:cstheme="majorBidi"/>
        </w:rPr>
        <w:t xml:space="preserve"> predictions. This dual focus strengthens the relevance of the findings and supports the potential application of interpretable machine learning models in pharmacovigilance and clinical decision support. </w:t>
      </w:r>
      <w:r w:rsidRPr="00662A7E">
        <w:rPr>
          <w:rFonts w:asciiTheme="majorBidi" w:hAnsiTheme="majorBidi" w:cstheme="majorBidi"/>
        </w:rPr>
        <w:t>Future work should focus on external validation across multiple hospital systems and prospective evaluation to assess the real-world impact of such models on clinical decision-making and patient safety.</w:t>
      </w:r>
      <w:r w:rsidRPr="00AD5722">
        <w:rPr>
          <w:rFonts w:asciiTheme="majorBidi" w:hAnsiTheme="majorBidi" w:cstheme="majorBidi"/>
        </w:rPr>
        <w:t xml:space="preserve"> </w:t>
      </w:r>
    </w:p>
    <w:p w14:paraId="2140D316" w14:textId="42CDA84C" w:rsidR="004F4200" w:rsidRPr="00872F79" w:rsidRDefault="004F4200" w:rsidP="00647A27">
      <w:pPr>
        <w:pStyle w:val="ListParagraph"/>
        <w:numPr>
          <w:ilvl w:val="1"/>
          <w:numId w:val="3"/>
        </w:numPr>
        <w:spacing w:line="360" w:lineRule="auto"/>
        <w:rPr>
          <w:rFonts w:asciiTheme="majorBidi" w:hAnsiTheme="majorBidi" w:cstheme="majorBidi"/>
          <w:u w:val="single"/>
        </w:rPr>
      </w:pPr>
      <w:r w:rsidRPr="00872F79">
        <w:rPr>
          <w:rFonts w:asciiTheme="majorBidi" w:hAnsiTheme="majorBidi" w:cstheme="majorBidi"/>
          <w:u w:val="single"/>
        </w:rPr>
        <w:t xml:space="preserve">Clinical Implications </w:t>
      </w:r>
    </w:p>
    <w:p w14:paraId="2F55273B" w14:textId="0E3536EC" w:rsidR="00D110E9" w:rsidRPr="00024162" w:rsidRDefault="00D110E9" w:rsidP="00024162">
      <w:pPr>
        <w:spacing w:line="360" w:lineRule="auto"/>
        <w:rPr>
          <w:rFonts w:asciiTheme="majorBidi" w:hAnsiTheme="majorBidi" w:cstheme="majorBidi"/>
        </w:rPr>
      </w:pPr>
      <w:r w:rsidRPr="00024162">
        <w:rPr>
          <w:rFonts w:asciiTheme="majorBidi" w:hAnsiTheme="majorBidi" w:cstheme="majorBidi"/>
        </w:rPr>
        <w:t>The findings of this study</w:t>
      </w:r>
      <w:r w:rsidR="00024162">
        <w:rPr>
          <w:rFonts w:asciiTheme="majorBidi" w:hAnsiTheme="majorBidi" w:cstheme="majorBidi"/>
        </w:rPr>
        <w:t xml:space="preserve"> extend</w:t>
      </w:r>
      <w:r w:rsidRPr="00024162">
        <w:rPr>
          <w:rFonts w:asciiTheme="majorBidi" w:hAnsiTheme="majorBidi" w:cstheme="majorBidi"/>
        </w:rPr>
        <w:t xml:space="preserve"> beyond the capabilities of machine learning and have several implications for clinical practice and pharmacovigilance. First</w:t>
      </w:r>
      <w:r w:rsidR="00FA74C9">
        <w:rPr>
          <w:rFonts w:asciiTheme="majorBidi" w:hAnsiTheme="majorBidi" w:cstheme="majorBidi"/>
        </w:rPr>
        <w:t>ly</w:t>
      </w:r>
      <w:r w:rsidRPr="00024162">
        <w:rPr>
          <w:rFonts w:asciiTheme="majorBidi" w:hAnsiTheme="majorBidi" w:cstheme="majorBidi"/>
        </w:rPr>
        <w:t>, the results suggest that interpretable machine learning models can support early detection and ADR risk stratification</w:t>
      </w:r>
      <w:r w:rsidR="00FA74C9">
        <w:rPr>
          <w:rFonts w:asciiTheme="majorBidi" w:hAnsiTheme="majorBidi" w:cstheme="majorBidi"/>
        </w:rPr>
        <w:t xml:space="preserve"> by simply</w:t>
      </w:r>
      <w:r w:rsidR="00024162">
        <w:rPr>
          <w:rFonts w:asciiTheme="majorBidi" w:hAnsiTheme="majorBidi" w:cstheme="majorBidi"/>
        </w:rPr>
        <w:t xml:space="preserve"> u</w:t>
      </w:r>
      <w:r w:rsidRPr="00024162">
        <w:rPr>
          <w:rFonts w:asciiTheme="majorBidi" w:hAnsiTheme="majorBidi" w:cstheme="majorBidi"/>
        </w:rPr>
        <w:t>sing routinely collected hospital data</w:t>
      </w:r>
      <w:r w:rsidR="00024162">
        <w:rPr>
          <w:rFonts w:asciiTheme="majorBidi" w:hAnsiTheme="majorBidi" w:cstheme="majorBidi"/>
        </w:rPr>
        <w:t xml:space="preserve">. This can </w:t>
      </w:r>
      <w:r w:rsidR="00FA74C9">
        <w:rPr>
          <w:rFonts w:asciiTheme="majorBidi" w:hAnsiTheme="majorBidi" w:cstheme="majorBidi"/>
        </w:rPr>
        <w:t xml:space="preserve">allow </w:t>
      </w:r>
      <w:r w:rsidRPr="00024162">
        <w:rPr>
          <w:rFonts w:asciiTheme="majorBidi" w:hAnsiTheme="majorBidi" w:cstheme="majorBidi"/>
        </w:rPr>
        <w:t xml:space="preserve">clinicians to identify patients who may benefit from increased monitoring or a more proactive </w:t>
      </w:r>
      <w:r w:rsidR="00FA74C9">
        <w:rPr>
          <w:rFonts w:asciiTheme="majorBidi" w:hAnsiTheme="majorBidi" w:cstheme="majorBidi"/>
        </w:rPr>
        <w:t xml:space="preserve">approach to their </w:t>
      </w:r>
      <w:r w:rsidRPr="00024162">
        <w:rPr>
          <w:rFonts w:asciiTheme="majorBidi" w:hAnsiTheme="majorBidi" w:cstheme="majorBidi"/>
        </w:rPr>
        <w:t xml:space="preserve">medication evaluation. In this context, the models are best positioned as </w:t>
      </w:r>
      <w:r w:rsidR="00024162">
        <w:rPr>
          <w:rFonts w:asciiTheme="majorBidi" w:hAnsiTheme="majorBidi" w:cstheme="majorBidi"/>
        </w:rPr>
        <w:t>tools that can be used to assist decisions rather than completely replacing clinical judgement.</w:t>
      </w:r>
    </w:p>
    <w:p w14:paraId="570FA728" w14:textId="0A388338" w:rsidR="00D110E9" w:rsidRPr="00024162" w:rsidRDefault="00FA74C9" w:rsidP="00024162">
      <w:pPr>
        <w:spacing w:line="360" w:lineRule="auto"/>
        <w:rPr>
          <w:rFonts w:asciiTheme="majorBidi" w:hAnsiTheme="majorBidi" w:cstheme="majorBidi"/>
        </w:rPr>
      </w:pPr>
      <w:r>
        <w:rPr>
          <w:rFonts w:asciiTheme="majorBidi" w:hAnsiTheme="majorBidi" w:cstheme="majorBidi"/>
        </w:rPr>
        <w:t>The methods used above, using</w:t>
      </w:r>
      <w:r w:rsidR="00D110E9" w:rsidRPr="00024162">
        <w:rPr>
          <w:rFonts w:asciiTheme="majorBidi" w:hAnsiTheme="majorBidi" w:cstheme="majorBidi"/>
        </w:rPr>
        <w:t xml:space="preserve"> transparent models supported by explanatory techniques</w:t>
      </w:r>
      <w:r>
        <w:rPr>
          <w:rFonts w:asciiTheme="majorBidi" w:hAnsiTheme="majorBidi" w:cstheme="majorBidi"/>
        </w:rPr>
        <w:t>,</w:t>
      </w:r>
      <w:r w:rsidR="00D110E9" w:rsidRPr="00024162">
        <w:rPr>
          <w:rFonts w:asciiTheme="majorBidi" w:hAnsiTheme="majorBidi" w:cstheme="majorBidi"/>
        </w:rPr>
        <w:t xml:space="preserve"> enhance trust, accountability and potential acceptability</w:t>
      </w:r>
      <w:r>
        <w:rPr>
          <w:rFonts w:asciiTheme="majorBidi" w:hAnsiTheme="majorBidi" w:cstheme="majorBidi"/>
        </w:rPr>
        <w:t xml:space="preserve"> as stated</w:t>
      </w:r>
      <w:r w:rsidR="00D110E9" w:rsidRPr="00024162">
        <w:rPr>
          <w:rFonts w:asciiTheme="majorBidi" w:hAnsiTheme="majorBidi" w:cstheme="majorBidi"/>
        </w:rPr>
        <w:t xml:space="preserve">. Clinicians may be more likely to engage with </w:t>
      </w:r>
      <w:r>
        <w:rPr>
          <w:rFonts w:asciiTheme="majorBidi" w:hAnsiTheme="majorBidi" w:cstheme="majorBidi"/>
        </w:rPr>
        <w:t xml:space="preserve">these </w:t>
      </w:r>
      <w:r w:rsidR="00D110E9" w:rsidRPr="00024162">
        <w:rPr>
          <w:rFonts w:asciiTheme="majorBidi" w:hAnsiTheme="majorBidi" w:cstheme="majorBidi"/>
        </w:rPr>
        <w:t>decision-support systems when model outputs are understandable</w:t>
      </w:r>
      <w:r>
        <w:rPr>
          <w:rFonts w:asciiTheme="majorBidi" w:hAnsiTheme="majorBidi" w:cstheme="majorBidi"/>
        </w:rPr>
        <w:t xml:space="preserve"> in medical terms</w:t>
      </w:r>
      <w:r w:rsidR="00D110E9" w:rsidRPr="00024162">
        <w:rPr>
          <w:rFonts w:asciiTheme="majorBidi" w:hAnsiTheme="majorBidi" w:cstheme="majorBidi"/>
        </w:rPr>
        <w:t xml:space="preserve"> and grounded in established pharmacological mechanisms</w:t>
      </w:r>
      <w:r>
        <w:rPr>
          <w:rFonts w:asciiTheme="majorBidi" w:hAnsiTheme="majorBidi" w:cstheme="majorBidi"/>
        </w:rPr>
        <w:t xml:space="preserve"> known to have the greatest impact</w:t>
      </w:r>
      <w:r w:rsidR="00D110E9" w:rsidRPr="00024162">
        <w:rPr>
          <w:rFonts w:asciiTheme="majorBidi" w:hAnsiTheme="majorBidi" w:cstheme="majorBidi"/>
        </w:rPr>
        <w:t xml:space="preserve">, such as renal impairment markers or medication burden. These characteristics are key to the safe integration of machine learning </w:t>
      </w:r>
      <w:r w:rsidR="00D110E9" w:rsidRPr="00024162">
        <w:rPr>
          <w:rFonts w:asciiTheme="majorBidi" w:hAnsiTheme="majorBidi" w:cstheme="majorBidi"/>
        </w:rPr>
        <w:lastRenderedPageBreak/>
        <w:t xml:space="preserve">into clinical settings and support the feasibility of deploying such interpretable machine learning models within hospital-based pharmacovigilance systems (Ietswaart et al., 2020; Tan et al., 2022). </w:t>
      </w:r>
    </w:p>
    <w:p w14:paraId="7472948B" w14:textId="5A8A03C0" w:rsidR="00024162" w:rsidRDefault="00024162" w:rsidP="00647A27">
      <w:pPr>
        <w:spacing w:line="360" w:lineRule="auto"/>
        <w:rPr>
          <w:rFonts w:asciiTheme="majorBidi" w:hAnsiTheme="majorBidi" w:cstheme="majorBidi"/>
          <w:b/>
          <w:bCs/>
        </w:rPr>
      </w:pPr>
      <w:r>
        <w:rPr>
          <w:rFonts w:asciiTheme="majorBidi" w:hAnsiTheme="majorBidi" w:cstheme="majorBidi"/>
        </w:rPr>
        <w:t>Al</w:t>
      </w:r>
      <w:r w:rsidRPr="00D955A2">
        <w:rPr>
          <w:rFonts w:asciiTheme="majorBidi" w:hAnsiTheme="majorBidi" w:cstheme="majorBidi"/>
        </w:rPr>
        <w:t xml:space="preserve">together, these findings demonstrate that interpretable machine learning models, when evaluated through a clinical safety lens, can </w:t>
      </w:r>
      <w:r>
        <w:rPr>
          <w:rFonts w:asciiTheme="majorBidi" w:hAnsiTheme="majorBidi" w:cstheme="majorBidi"/>
        </w:rPr>
        <w:t>deliver</w:t>
      </w:r>
      <w:r w:rsidRPr="00D955A2">
        <w:rPr>
          <w:rFonts w:asciiTheme="majorBidi" w:hAnsiTheme="majorBidi" w:cstheme="majorBidi"/>
        </w:rPr>
        <w:t xml:space="preserve"> </w:t>
      </w:r>
      <w:r w:rsidR="00FA74C9">
        <w:rPr>
          <w:rFonts w:asciiTheme="majorBidi" w:hAnsiTheme="majorBidi" w:cstheme="majorBidi"/>
        </w:rPr>
        <w:t>legitimate</w:t>
      </w:r>
      <w:r w:rsidRPr="00D955A2">
        <w:rPr>
          <w:rFonts w:asciiTheme="majorBidi" w:hAnsiTheme="majorBidi" w:cstheme="majorBidi"/>
        </w:rPr>
        <w:t xml:space="preserve"> and trustworthy insights. Such approaches have the </w:t>
      </w:r>
      <w:r w:rsidRPr="00D110E9">
        <w:rPr>
          <w:rFonts w:asciiTheme="majorBidi" w:hAnsiTheme="majorBidi" w:cstheme="majorBidi"/>
        </w:rPr>
        <w:t>potential to support safer prescribing and enhance pharmacovigilance practice.</w:t>
      </w:r>
    </w:p>
    <w:p w14:paraId="238D8DA1" w14:textId="77777777" w:rsidR="00024162" w:rsidRPr="00024162" w:rsidRDefault="00024162" w:rsidP="00647A27">
      <w:pPr>
        <w:spacing w:line="360" w:lineRule="auto"/>
        <w:rPr>
          <w:rFonts w:asciiTheme="majorBidi" w:hAnsiTheme="majorBidi" w:cstheme="majorBidi"/>
          <w:b/>
          <w:bCs/>
        </w:rPr>
      </w:pPr>
    </w:p>
    <w:p w14:paraId="11FCBDDC" w14:textId="5A7D71D0" w:rsidR="006F7614" w:rsidRDefault="006F7614" w:rsidP="00D110E9">
      <w:pPr>
        <w:pStyle w:val="ListParagraph"/>
        <w:numPr>
          <w:ilvl w:val="0"/>
          <w:numId w:val="3"/>
        </w:numPr>
        <w:spacing w:line="360" w:lineRule="auto"/>
        <w:rPr>
          <w:rFonts w:asciiTheme="majorBidi" w:hAnsiTheme="majorBidi" w:cstheme="majorBidi"/>
          <w:b/>
          <w:bCs/>
          <w:sz w:val="28"/>
          <w:szCs w:val="28"/>
        </w:rPr>
      </w:pPr>
      <w:r w:rsidRPr="00E907C8">
        <w:rPr>
          <w:rFonts w:asciiTheme="majorBidi" w:hAnsiTheme="majorBidi" w:cstheme="majorBidi"/>
          <w:b/>
          <w:bCs/>
          <w:sz w:val="28"/>
          <w:szCs w:val="28"/>
        </w:rPr>
        <w:t>Conclusions and recommendations</w:t>
      </w:r>
    </w:p>
    <w:p w14:paraId="280C6389" w14:textId="6E342681" w:rsidR="006F7614" w:rsidRPr="00872F79" w:rsidRDefault="006F7614" w:rsidP="00872F79">
      <w:pPr>
        <w:pStyle w:val="ListParagraph"/>
        <w:numPr>
          <w:ilvl w:val="1"/>
          <w:numId w:val="3"/>
        </w:numPr>
        <w:spacing w:line="360" w:lineRule="auto"/>
        <w:rPr>
          <w:rFonts w:asciiTheme="majorBidi" w:hAnsiTheme="majorBidi" w:cstheme="majorBidi"/>
          <w:sz w:val="32"/>
          <w:szCs w:val="32"/>
          <w:u w:val="single"/>
        </w:rPr>
      </w:pPr>
      <w:r w:rsidRPr="00872F79">
        <w:rPr>
          <w:rFonts w:asciiTheme="majorBidi" w:hAnsiTheme="majorBidi" w:cstheme="majorBidi"/>
          <w:sz w:val="24"/>
          <w:szCs w:val="24"/>
          <w:u w:val="single"/>
        </w:rPr>
        <w:t xml:space="preserve"> Conclusion.</w:t>
      </w:r>
    </w:p>
    <w:p w14:paraId="7E534499" w14:textId="303A22D9" w:rsidR="006F7614" w:rsidRPr="00AD5722" w:rsidRDefault="006F7614" w:rsidP="006F7614">
      <w:pPr>
        <w:spacing w:line="360" w:lineRule="auto"/>
        <w:rPr>
          <w:rFonts w:asciiTheme="majorBidi" w:hAnsiTheme="majorBidi" w:cstheme="majorBidi"/>
        </w:rPr>
      </w:pPr>
      <w:r>
        <w:rPr>
          <w:rFonts w:asciiTheme="majorBidi" w:hAnsiTheme="majorBidi" w:cstheme="majorBidi"/>
          <w:kern w:val="0"/>
          <w14:ligatures w14:val="none"/>
        </w:rPr>
        <w:t>T</w:t>
      </w:r>
      <w:r w:rsidR="00FA74C9">
        <w:rPr>
          <w:rFonts w:asciiTheme="majorBidi" w:hAnsiTheme="majorBidi" w:cstheme="majorBidi"/>
          <w:kern w:val="0"/>
          <w14:ligatures w14:val="none"/>
        </w:rPr>
        <w:t xml:space="preserve">hroughout this study, we </w:t>
      </w:r>
      <w:r>
        <w:rPr>
          <w:rFonts w:asciiTheme="majorBidi" w:hAnsiTheme="majorBidi" w:cstheme="majorBidi"/>
          <w:kern w:val="0"/>
          <w14:ligatures w14:val="none"/>
        </w:rPr>
        <w:t xml:space="preserve">examined the potential of machine learning models to predict adverse drug reactions (ADRs) using routinely collected clinical, laboratory, and pharmacological data from a hospital setting. By evaluating Logistic Regression and Support Vector Classification models </w:t>
      </w:r>
      <w:r w:rsidR="00FA74C9">
        <w:rPr>
          <w:rFonts w:asciiTheme="majorBidi" w:hAnsiTheme="majorBidi" w:cstheme="majorBidi"/>
          <w:kern w:val="0"/>
          <w14:ligatures w14:val="none"/>
        </w:rPr>
        <w:t>for</w:t>
      </w:r>
      <w:r>
        <w:rPr>
          <w:rFonts w:asciiTheme="majorBidi" w:hAnsiTheme="majorBidi" w:cstheme="majorBidi"/>
          <w:kern w:val="0"/>
          <w14:ligatures w14:val="none"/>
        </w:rPr>
        <w:t xml:space="preserve"> predictive performance and clinical safety, the research aimed to determine whether interpretable machine learning approaches could support pharmacovigilance and patient safety initiatives.</w:t>
      </w:r>
    </w:p>
    <w:p w14:paraId="5B7BACDF" w14:textId="0A364BAD" w:rsidR="006F7614" w:rsidRPr="00AD5722" w:rsidRDefault="00FA74C9" w:rsidP="006F7614">
      <w:pPr>
        <w:spacing w:line="360" w:lineRule="auto"/>
        <w:rPr>
          <w:rFonts w:asciiTheme="majorBidi" w:hAnsiTheme="majorBidi" w:cstheme="majorBidi"/>
        </w:rPr>
      </w:pPr>
      <w:r>
        <w:rPr>
          <w:rFonts w:asciiTheme="majorBidi" w:hAnsiTheme="majorBidi" w:cstheme="majorBidi"/>
          <w:kern w:val="0"/>
          <w14:ligatures w14:val="none"/>
        </w:rPr>
        <w:t>Findings discussed above</w:t>
      </w:r>
      <w:r w:rsidR="006F7614">
        <w:rPr>
          <w:rFonts w:asciiTheme="majorBidi" w:hAnsiTheme="majorBidi" w:cstheme="majorBidi"/>
          <w:kern w:val="0"/>
          <w14:ligatures w14:val="none"/>
        </w:rPr>
        <w:t xml:space="preserve"> demonstrate that both models identified patients at increased risk of ADRs with moderate recall, reflecting a clinically relevant level of sensitivity. Logistic Regression achieved slightly higher recall for the ADR class, while the Support Vector Classifier showed</w:t>
      </w:r>
      <w:r>
        <w:rPr>
          <w:rFonts w:asciiTheme="majorBidi" w:hAnsiTheme="majorBidi" w:cstheme="majorBidi"/>
          <w:kern w:val="0"/>
          <w14:ligatures w14:val="none"/>
        </w:rPr>
        <w:t xml:space="preserve"> a</w:t>
      </w:r>
      <w:r w:rsidR="006F7614">
        <w:rPr>
          <w:rFonts w:asciiTheme="majorBidi" w:hAnsiTheme="majorBidi" w:cstheme="majorBidi"/>
          <w:kern w:val="0"/>
          <w14:ligatures w14:val="none"/>
        </w:rPr>
        <w:t xml:space="preserve"> comparable </w:t>
      </w:r>
      <w:r>
        <w:rPr>
          <w:rFonts w:asciiTheme="majorBidi" w:hAnsiTheme="majorBidi" w:cstheme="majorBidi"/>
          <w:kern w:val="0"/>
          <w14:ligatures w14:val="none"/>
        </w:rPr>
        <w:t xml:space="preserve">but slightly </w:t>
      </w:r>
      <w:r w:rsidR="00FE3FF8">
        <w:rPr>
          <w:rFonts w:asciiTheme="majorBidi" w:hAnsiTheme="majorBidi" w:cstheme="majorBidi"/>
          <w:kern w:val="0"/>
          <w14:ligatures w14:val="none"/>
        </w:rPr>
        <w:t xml:space="preserve">higher </w:t>
      </w:r>
      <w:r w:rsidR="006F7614">
        <w:rPr>
          <w:rFonts w:asciiTheme="majorBidi" w:hAnsiTheme="majorBidi" w:cstheme="majorBidi"/>
          <w:kern w:val="0"/>
          <w14:ligatures w14:val="none"/>
        </w:rPr>
        <w:t xml:space="preserve">overall performance. Although overall accuracy remained modest, this outcome aligns with the complexity of ADR prediction, where heterogeneous patient profiles, polypharmacy, and </w:t>
      </w:r>
      <w:r w:rsidR="00FE3FF8">
        <w:rPr>
          <w:rFonts w:asciiTheme="majorBidi" w:hAnsiTheme="majorBidi" w:cstheme="majorBidi"/>
          <w:kern w:val="0"/>
          <w14:ligatures w14:val="none"/>
        </w:rPr>
        <w:t>interactions</w:t>
      </w:r>
      <w:r w:rsidR="006F7614">
        <w:rPr>
          <w:rFonts w:asciiTheme="majorBidi" w:hAnsiTheme="majorBidi" w:cstheme="majorBidi"/>
          <w:kern w:val="0"/>
          <w14:ligatures w14:val="none"/>
        </w:rPr>
        <w:t xml:space="preserve"> </w:t>
      </w:r>
      <w:r w:rsidR="00FE3FF8">
        <w:rPr>
          <w:rFonts w:asciiTheme="majorBidi" w:hAnsiTheme="majorBidi" w:cstheme="majorBidi"/>
          <w:kern w:val="0"/>
          <w14:ligatures w14:val="none"/>
        </w:rPr>
        <w:t>among comorbiditie</w:t>
      </w:r>
      <w:r w:rsidR="006F7614">
        <w:rPr>
          <w:rFonts w:asciiTheme="majorBidi" w:hAnsiTheme="majorBidi" w:cstheme="majorBidi"/>
          <w:kern w:val="0"/>
          <w14:ligatures w14:val="none"/>
        </w:rPr>
        <w:t xml:space="preserve">s contribute to substantial uncertainty. Importantly, prioritising recall over accuracy aligns with pharmacovigilance principles, </w:t>
      </w:r>
      <w:r w:rsidR="00FE3FF8">
        <w:rPr>
          <w:rFonts w:asciiTheme="majorBidi" w:hAnsiTheme="majorBidi" w:cstheme="majorBidi"/>
          <w:kern w:val="0"/>
          <w14:ligatures w14:val="none"/>
        </w:rPr>
        <w:t>in which</w:t>
      </w:r>
      <w:r w:rsidR="006F7614">
        <w:rPr>
          <w:rFonts w:asciiTheme="majorBidi" w:hAnsiTheme="majorBidi" w:cstheme="majorBidi"/>
          <w:kern w:val="0"/>
          <w14:ligatures w14:val="none"/>
        </w:rPr>
        <w:t xml:space="preserve"> the co</w:t>
      </w:r>
      <w:r w:rsidR="00FE3FF8">
        <w:rPr>
          <w:rFonts w:asciiTheme="majorBidi" w:hAnsiTheme="majorBidi" w:cstheme="majorBidi"/>
          <w:kern w:val="0"/>
          <w14:ligatures w14:val="none"/>
        </w:rPr>
        <w:t xml:space="preserve">nsequences </w:t>
      </w:r>
      <w:r w:rsidR="006F7614">
        <w:rPr>
          <w:rFonts w:asciiTheme="majorBidi" w:hAnsiTheme="majorBidi" w:cstheme="majorBidi"/>
          <w:kern w:val="0"/>
          <w14:ligatures w14:val="none"/>
        </w:rPr>
        <w:t xml:space="preserve">of missing an ADR typically </w:t>
      </w:r>
      <w:r w:rsidR="00FE3FF8">
        <w:rPr>
          <w:rFonts w:asciiTheme="majorBidi" w:hAnsiTheme="majorBidi" w:cstheme="majorBidi"/>
          <w:kern w:val="0"/>
          <w14:ligatures w14:val="none"/>
        </w:rPr>
        <w:t>outweigh</w:t>
      </w:r>
      <w:r w:rsidR="006F7614">
        <w:rPr>
          <w:rFonts w:asciiTheme="majorBidi" w:hAnsiTheme="majorBidi" w:cstheme="majorBidi"/>
          <w:kern w:val="0"/>
          <w14:ligatures w14:val="none"/>
        </w:rPr>
        <w:t xml:space="preserve"> the burden of false positives.</w:t>
      </w:r>
    </w:p>
    <w:p w14:paraId="53071061" w14:textId="2318FA69"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A key contribution of this study lies in its emphasis on interpretability</w:t>
      </w:r>
      <w:r w:rsidR="00FE3FF8">
        <w:rPr>
          <w:rFonts w:asciiTheme="majorBidi" w:hAnsiTheme="majorBidi" w:cstheme="majorBidi"/>
        </w:rPr>
        <w:t xml:space="preserve"> beyond data science professionals</w:t>
      </w:r>
      <w:r w:rsidRPr="00AD5722">
        <w:rPr>
          <w:rFonts w:asciiTheme="majorBidi" w:hAnsiTheme="majorBidi" w:cstheme="majorBidi"/>
        </w:rPr>
        <w:t>. The use of transparent models, supported by feature importance and SHAP-based interpretation</w:t>
      </w:r>
      <w:r w:rsidR="00FE3FF8">
        <w:rPr>
          <w:rFonts w:asciiTheme="majorBidi" w:hAnsiTheme="majorBidi" w:cstheme="majorBidi"/>
        </w:rPr>
        <w:t>s</w:t>
      </w:r>
      <w:r w:rsidRPr="00AD5722">
        <w:rPr>
          <w:rFonts w:asciiTheme="majorBidi" w:hAnsiTheme="majorBidi" w:cstheme="majorBidi"/>
        </w:rPr>
        <w:t xml:space="preserve">, </w:t>
      </w:r>
      <w:r w:rsidR="00FE3FF8">
        <w:rPr>
          <w:rFonts w:asciiTheme="majorBidi" w:hAnsiTheme="majorBidi" w:cstheme="majorBidi"/>
        </w:rPr>
        <w:t xml:space="preserve">enabled </w:t>
      </w:r>
      <w:r w:rsidRPr="00AD5722">
        <w:rPr>
          <w:rFonts w:asciiTheme="majorBidi" w:hAnsiTheme="majorBidi" w:cstheme="majorBidi"/>
        </w:rPr>
        <w:t xml:space="preserve">clinically meaningful insights into the drivers of ADR risk. Factors such as medication burden, comorbidity indices, renal function markers, and selected laboratory variables emerged as influential predictors, reinforcing established clinical knowledge </w:t>
      </w:r>
      <w:r>
        <w:rPr>
          <w:rFonts w:asciiTheme="majorBidi" w:hAnsiTheme="majorBidi" w:cstheme="majorBidi"/>
        </w:rPr>
        <w:t>and</w:t>
      </w:r>
      <w:r w:rsidRPr="00AD5722">
        <w:rPr>
          <w:rFonts w:asciiTheme="majorBidi" w:hAnsiTheme="majorBidi" w:cstheme="majorBidi"/>
        </w:rPr>
        <w:t xml:space="preserve"> demonstrating machine learning</w:t>
      </w:r>
      <w:r w:rsidR="00FE3FF8">
        <w:rPr>
          <w:rFonts w:asciiTheme="majorBidi" w:hAnsiTheme="majorBidi" w:cstheme="majorBidi"/>
        </w:rPr>
        <w:t>'s capacity</w:t>
      </w:r>
      <w:r w:rsidRPr="00AD5722">
        <w:rPr>
          <w:rFonts w:asciiTheme="majorBidi" w:hAnsiTheme="majorBidi" w:cstheme="majorBidi"/>
        </w:rPr>
        <w:t xml:space="preserve"> to integrate multifactorial risk profiles. This is critical for real-world adoption, as clinicians are more likely to trust and engage with decision-support systems whose outputs </w:t>
      </w:r>
      <w:r>
        <w:rPr>
          <w:rFonts w:asciiTheme="majorBidi" w:hAnsiTheme="majorBidi" w:cstheme="majorBidi"/>
        </w:rPr>
        <w:t>ar</w:t>
      </w:r>
      <w:r w:rsidRPr="00AD5722">
        <w:rPr>
          <w:rFonts w:asciiTheme="majorBidi" w:hAnsiTheme="majorBidi" w:cstheme="majorBidi"/>
        </w:rPr>
        <w:t>e underst</w:t>
      </w:r>
      <w:r>
        <w:rPr>
          <w:rFonts w:asciiTheme="majorBidi" w:hAnsiTheme="majorBidi" w:cstheme="majorBidi"/>
        </w:rPr>
        <w:t>andable</w:t>
      </w:r>
      <w:r w:rsidRPr="00AD5722">
        <w:rPr>
          <w:rFonts w:asciiTheme="majorBidi" w:hAnsiTheme="majorBidi" w:cstheme="majorBidi"/>
        </w:rPr>
        <w:t xml:space="preserve"> and justifi</w:t>
      </w:r>
      <w:r>
        <w:rPr>
          <w:rFonts w:asciiTheme="majorBidi" w:hAnsiTheme="majorBidi" w:cstheme="majorBidi"/>
        </w:rPr>
        <w:t>able</w:t>
      </w:r>
      <w:r w:rsidR="00465D0A">
        <w:rPr>
          <w:rFonts w:asciiTheme="majorBidi" w:hAnsiTheme="majorBidi" w:cstheme="majorBidi"/>
        </w:rPr>
        <w:t>. At the same time, t</w:t>
      </w:r>
      <w:r w:rsidRPr="00AD5722">
        <w:rPr>
          <w:rFonts w:asciiTheme="majorBidi" w:hAnsiTheme="majorBidi" w:cstheme="majorBidi"/>
        </w:rPr>
        <w:t>he results</w:t>
      </w:r>
      <w:r w:rsidR="00FE3FF8">
        <w:rPr>
          <w:rFonts w:asciiTheme="majorBidi" w:hAnsiTheme="majorBidi" w:cstheme="majorBidi"/>
        </w:rPr>
        <w:t xml:space="preserve"> above</w:t>
      </w:r>
      <w:r w:rsidRPr="00AD5722">
        <w:rPr>
          <w:rFonts w:asciiTheme="majorBidi" w:hAnsiTheme="majorBidi" w:cstheme="majorBidi"/>
        </w:rPr>
        <w:t xml:space="preserve"> suggest that relatively simple, well-validated machine learning models can perform competitively without sacrificing transparency. Rather than pursuing maximum predictive performance through complex or opaque architectures, this study demonstrates the value of balancing </w:t>
      </w:r>
      <w:r w:rsidRPr="00AD5722">
        <w:rPr>
          <w:rFonts w:asciiTheme="majorBidi" w:hAnsiTheme="majorBidi" w:cstheme="majorBidi"/>
        </w:rPr>
        <w:lastRenderedPageBreak/>
        <w:t>accuracy with explainability in safety-critical healthcare applications. In this context, the models developed should be viewed as tools for risk stratification rather than diagnostic instruments, supporting earlier</w:t>
      </w:r>
      <w:r w:rsidR="00465D0A">
        <w:rPr>
          <w:rFonts w:asciiTheme="majorBidi" w:hAnsiTheme="majorBidi" w:cstheme="majorBidi"/>
        </w:rPr>
        <w:t xml:space="preserve"> research on</w:t>
      </w:r>
      <w:r w:rsidRPr="00AD5722">
        <w:rPr>
          <w:rFonts w:asciiTheme="majorBidi" w:hAnsiTheme="majorBidi" w:cstheme="majorBidi"/>
        </w:rPr>
        <w:t xml:space="preserve"> </w:t>
      </w:r>
      <w:r w:rsidR="00465D0A">
        <w:rPr>
          <w:rFonts w:asciiTheme="majorBidi" w:hAnsiTheme="majorBidi" w:cstheme="majorBidi"/>
        </w:rPr>
        <w:t xml:space="preserve">identifying </w:t>
      </w:r>
      <w:r w:rsidRPr="00AD5722">
        <w:rPr>
          <w:rFonts w:asciiTheme="majorBidi" w:hAnsiTheme="majorBidi" w:cstheme="majorBidi"/>
        </w:rPr>
        <w:t>high-risk patients and facilitating targeted monitoring or intervention.</w:t>
      </w:r>
    </w:p>
    <w:p w14:paraId="510C346D" w14:textId="3C596128"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Several limitations should be acknowledged when interpreting these findings</w:t>
      </w:r>
      <w:r>
        <w:rPr>
          <w:rFonts w:asciiTheme="majorBidi" w:hAnsiTheme="majorBidi" w:cstheme="majorBidi"/>
        </w:rPr>
        <w:t>,</w:t>
      </w:r>
      <w:r w:rsidRPr="00AD5722">
        <w:rPr>
          <w:rFonts w:asciiTheme="majorBidi" w:hAnsiTheme="majorBidi" w:cstheme="majorBidi"/>
        </w:rPr>
        <w:t xml:space="preserve"> as </w:t>
      </w:r>
      <w:r>
        <w:rPr>
          <w:rFonts w:asciiTheme="majorBidi" w:hAnsiTheme="majorBidi" w:cstheme="majorBidi"/>
        </w:rPr>
        <w:t>discussed;</w:t>
      </w:r>
      <w:r w:rsidRPr="00AD5722">
        <w:rPr>
          <w:rFonts w:asciiTheme="majorBidi" w:hAnsiTheme="majorBidi" w:cstheme="majorBidi"/>
        </w:rPr>
        <w:t xml:space="preserve"> nonetheless, these limitations</w:t>
      </w:r>
      <w:r w:rsidR="00465D0A">
        <w:rPr>
          <w:rFonts w:asciiTheme="majorBidi" w:hAnsiTheme="majorBidi" w:cstheme="majorBidi"/>
        </w:rPr>
        <w:t xml:space="preserve"> </w:t>
      </w:r>
      <w:r w:rsidRPr="00AD5722">
        <w:rPr>
          <w:rFonts w:asciiTheme="majorBidi" w:hAnsiTheme="majorBidi" w:cstheme="majorBidi"/>
        </w:rPr>
        <w:t>reflect common challenges</w:t>
      </w:r>
      <w:r w:rsidR="00465D0A">
        <w:rPr>
          <w:rFonts w:asciiTheme="majorBidi" w:hAnsiTheme="majorBidi" w:cstheme="majorBidi"/>
        </w:rPr>
        <w:t xml:space="preserve"> seen in various papers when</w:t>
      </w:r>
      <w:r w:rsidRPr="00AD5722">
        <w:rPr>
          <w:rFonts w:asciiTheme="majorBidi" w:hAnsiTheme="majorBidi" w:cstheme="majorBidi"/>
        </w:rPr>
        <w:t xml:space="preserve"> appl</w:t>
      </w:r>
      <w:r w:rsidR="00465D0A">
        <w:rPr>
          <w:rFonts w:asciiTheme="majorBidi" w:hAnsiTheme="majorBidi" w:cstheme="majorBidi"/>
        </w:rPr>
        <w:t>ying</w:t>
      </w:r>
      <w:r w:rsidRPr="00AD5722">
        <w:rPr>
          <w:rFonts w:asciiTheme="majorBidi" w:hAnsiTheme="majorBidi" w:cstheme="majorBidi"/>
        </w:rPr>
        <w:t xml:space="preserve"> clinical machine learning</w:t>
      </w:r>
      <w:r w:rsidR="00465D0A">
        <w:rPr>
          <w:rFonts w:asciiTheme="majorBidi" w:hAnsiTheme="majorBidi" w:cstheme="majorBidi"/>
        </w:rPr>
        <w:t xml:space="preserve">. This reiterates the </w:t>
      </w:r>
      <w:r w:rsidRPr="00AD5722">
        <w:rPr>
          <w:rFonts w:asciiTheme="majorBidi" w:hAnsiTheme="majorBidi" w:cstheme="majorBidi"/>
        </w:rPr>
        <w:t xml:space="preserve">need for cautious interpretation </w:t>
      </w:r>
      <w:r w:rsidR="00465D0A">
        <w:rPr>
          <w:rFonts w:asciiTheme="majorBidi" w:hAnsiTheme="majorBidi" w:cstheme="majorBidi"/>
        </w:rPr>
        <w:t>without</w:t>
      </w:r>
      <w:r w:rsidRPr="00AD5722">
        <w:rPr>
          <w:rFonts w:asciiTheme="majorBidi" w:hAnsiTheme="majorBidi" w:cstheme="majorBidi"/>
        </w:rPr>
        <w:t xml:space="preserve"> diminishing the practical relevance of the results.</w:t>
      </w:r>
    </w:p>
    <w:p w14:paraId="77529746" w14:textId="1A97D8E1" w:rsidR="00465D0A" w:rsidRPr="00AD5722" w:rsidRDefault="006F7614" w:rsidP="00872F79">
      <w:pPr>
        <w:spacing w:line="360" w:lineRule="auto"/>
        <w:rPr>
          <w:rFonts w:asciiTheme="majorBidi" w:hAnsiTheme="majorBidi" w:cstheme="majorBidi"/>
        </w:rPr>
      </w:pPr>
      <w:r w:rsidRPr="00AD5722">
        <w:rPr>
          <w:rFonts w:asciiTheme="majorBidi" w:hAnsiTheme="majorBidi" w:cstheme="majorBidi"/>
        </w:rPr>
        <w:t xml:space="preserve">Overall, this study demonstrates that interpretable machine learning models can meaningfully contribute to ADR risk prediction using routinely collected hospital data. </w:t>
      </w:r>
      <w:r>
        <w:rPr>
          <w:rFonts w:asciiTheme="majorBidi" w:hAnsiTheme="majorBidi" w:cstheme="majorBidi"/>
        </w:rPr>
        <w:t>Although</w:t>
      </w:r>
      <w:r w:rsidRPr="00AD5722">
        <w:rPr>
          <w:rFonts w:asciiTheme="majorBidi" w:hAnsiTheme="majorBidi" w:cstheme="majorBidi"/>
        </w:rPr>
        <w:t xml:space="preserve"> the models are not suitable for clinical decision-making</w:t>
      </w:r>
      <w:r w:rsidR="00465D0A">
        <w:rPr>
          <w:rFonts w:asciiTheme="majorBidi" w:hAnsiTheme="majorBidi" w:cstheme="majorBidi"/>
        </w:rPr>
        <w:t xml:space="preserve"> alone</w:t>
      </w:r>
      <w:r w:rsidRPr="00AD5722">
        <w:rPr>
          <w:rFonts w:asciiTheme="majorBidi" w:hAnsiTheme="majorBidi" w:cstheme="majorBidi"/>
        </w:rPr>
        <w:t xml:space="preserve">, they </w:t>
      </w:r>
      <w:r>
        <w:rPr>
          <w:rFonts w:asciiTheme="majorBidi" w:hAnsiTheme="majorBidi" w:cstheme="majorBidi"/>
        </w:rPr>
        <w:t>provide</w:t>
      </w:r>
      <w:r w:rsidRPr="00AD5722">
        <w:rPr>
          <w:rFonts w:asciiTheme="majorBidi" w:hAnsiTheme="majorBidi" w:cstheme="majorBidi"/>
        </w:rPr>
        <w:t xml:space="preserve"> a promising foundation for </w:t>
      </w:r>
      <w:r w:rsidR="00465D0A" w:rsidRPr="00AD5722">
        <w:rPr>
          <w:rFonts w:asciiTheme="majorBidi" w:hAnsiTheme="majorBidi" w:cstheme="majorBidi"/>
        </w:rPr>
        <w:t>expanding</w:t>
      </w:r>
      <w:r w:rsidRPr="00AD5722">
        <w:rPr>
          <w:rFonts w:asciiTheme="majorBidi" w:hAnsiTheme="majorBidi" w:cstheme="majorBidi"/>
        </w:rPr>
        <w:t xml:space="preserve"> existing pharmacovigilance processes</w:t>
      </w:r>
      <w:r w:rsidR="00465D0A">
        <w:rPr>
          <w:rFonts w:asciiTheme="majorBidi" w:hAnsiTheme="majorBidi" w:cstheme="majorBidi"/>
        </w:rPr>
        <w:t>, research</w:t>
      </w:r>
      <w:r w:rsidRPr="00AD5722">
        <w:rPr>
          <w:rFonts w:asciiTheme="majorBidi" w:hAnsiTheme="majorBidi" w:cstheme="majorBidi"/>
        </w:rPr>
        <w:t xml:space="preserve"> and supporting safer prescribing.</w:t>
      </w:r>
    </w:p>
    <w:p w14:paraId="3AFDDD9C" w14:textId="757E3F5F" w:rsidR="006F7614" w:rsidRPr="00872F79" w:rsidRDefault="006F7614" w:rsidP="00647A27">
      <w:pPr>
        <w:pStyle w:val="ListParagraph"/>
        <w:numPr>
          <w:ilvl w:val="1"/>
          <w:numId w:val="3"/>
        </w:numPr>
        <w:spacing w:line="360" w:lineRule="auto"/>
        <w:rPr>
          <w:rFonts w:asciiTheme="majorBidi" w:hAnsiTheme="majorBidi" w:cstheme="majorBidi"/>
          <w:sz w:val="24"/>
          <w:szCs w:val="24"/>
          <w:u w:val="single"/>
        </w:rPr>
      </w:pPr>
      <w:r w:rsidRPr="00872F79">
        <w:rPr>
          <w:rFonts w:asciiTheme="majorBidi" w:hAnsiTheme="majorBidi" w:cstheme="majorBidi"/>
          <w:sz w:val="24"/>
          <w:szCs w:val="24"/>
          <w:u w:val="single"/>
        </w:rPr>
        <w:t>Recommendations for Future Research.</w:t>
      </w:r>
    </w:p>
    <w:p w14:paraId="382B7EA4" w14:textId="1FF8B3B2"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 xml:space="preserve">Future research should </w:t>
      </w:r>
      <w:r>
        <w:rPr>
          <w:rFonts w:asciiTheme="majorBidi" w:hAnsiTheme="majorBidi" w:cstheme="majorBidi"/>
        </w:rPr>
        <w:t>extend</w:t>
      </w:r>
      <w:r w:rsidR="00465D0A">
        <w:rPr>
          <w:rFonts w:asciiTheme="majorBidi" w:hAnsiTheme="majorBidi" w:cstheme="majorBidi"/>
        </w:rPr>
        <w:t xml:space="preserve">, </w:t>
      </w:r>
      <w:r w:rsidRPr="00AD5722">
        <w:rPr>
          <w:rFonts w:asciiTheme="majorBidi" w:hAnsiTheme="majorBidi" w:cstheme="majorBidi"/>
        </w:rPr>
        <w:t>validat</w:t>
      </w:r>
      <w:r>
        <w:rPr>
          <w:rFonts w:asciiTheme="majorBidi" w:hAnsiTheme="majorBidi" w:cstheme="majorBidi"/>
        </w:rPr>
        <w:t>e</w:t>
      </w:r>
      <w:r w:rsidRPr="00AD5722">
        <w:rPr>
          <w:rFonts w:asciiTheme="majorBidi" w:hAnsiTheme="majorBidi" w:cstheme="majorBidi"/>
        </w:rPr>
        <w:t xml:space="preserve"> </w:t>
      </w:r>
      <w:r w:rsidR="00465D0A">
        <w:rPr>
          <w:rFonts w:asciiTheme="majorBidi" w:hAnsiTheme="majorBidi" w:cstheme="majorBidi"/>
        </w:rPr>
        <w:t xml:space="preserve">and </w:t>
      </w:r>
      <w:r w:rsidR="001279DD">
        <w:rPr>
          <w:rFonts w:asciiTheme="majorBidi" w:hAnsiTheme="majorBidi" w:cstheme="majorBidi"/>
        </w:rPr>
        <w:t xml:space="preserve">improve </w:t>
      </w:r>
      <w:r w:rsidRPr="00AD5722">
        <w:rPr>
          <w:rFonts w:asciiTheme="majorBidi" w:hAnsiTheme="majorBidi" w:cstheme="majorBidi"/>
        </w:rPr>
        <w:t xml:space="preserve">the findings of this study across broader clinical contexts. External validation using multi-centre datasets is essential to assess the generalisability and robustness of the proposed models. </w:t>
      </w:r>
      <w:r w:rsidR="001279DD">
        <w:rPr>
          <w:rFonts w:asciiTheme="majorBidi" w:hAnsiTheme="majorBidi" w:cstheme="majorBidi"/>
        </w:rPr>
        <w:t xml:space="preserve">This outside validation </w:t>
      </w:r>
      <w:r w:rsidRPr="00AD5722">
        <w:rPr>
          <w:rFonts w:asciiTheme="majorBidi" w:hAnsiTheme="majorBidi" w:cstheme="majorBidi"/>
        </w:rPr>
        <w:t>would help determine whether the identified predictors and performance characteristics hold across different patient populations and healthcare systems.</w:t>
      </w:r>
    </w:p>
    <w:p w14:paraId="77A632AA" w14:textId="3C12DF14"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 xml:space="preserve">Prospective studies are also required to </w:t>
      </w:r>
      <w:r>
        <w:rPr>
          <w:rFonts w:asciiTheme="majorBidi" w:hAnsiTheme="majorBidi" w:cstheme="majorBidi"/>
        </w:rPr>
        <w:t>assess</w:t>
      </w:r>
      <w:r w:rsidRPr="00AD5722">
        <w:rPr>
          <w:rFonts w:asciiTheme="majorBidi" w:hAnsiTheme="majorBidi" w:cstheme="majorBidi"/>
        </w:rPr>
        <w:t xml:space="preserve"> real-world clinical impact. While retrospective performance metrics provide valuable insights</w:t>
      </w:r>
      <w:r w:rsidR="001279DD">
        <w:rPr>
          <w:rFonts w:asciiTheme="majorBidi" w:hAnsiTheme="majorBidi" w:cstheme="majorBidi"/>
        </w:rPr>
        <w:t xml:space="preserve"> and a model framework for how to encounter ML in clinical settings</w:t>
      </w:r>
      <w:r w:rsidRPr="00AD5722">
        <w:rPr>
          <w:rFonts w:asciiTheme="majorBidi" w:hAnsiTheme="majorBidi" w:cstheme="majorBidi"/>
        </w:rPr>
        <w:t xml:space="preserve">, they </w:t>
      </w:r>
      <w:r w:rsidR="001279DD">
        <w:rPr>
          <w:rFonts w:asciiTheme="majorBidi" w:hAnsiTheme="majorBidi" w:cstheme="majorBidi"/>
        </w:rPr>
        <w:t>struggle</w:t>
      </w:r>
      <w:r w:rsidRPr="00AD5722">
        <w:rPr>
          <w:rFonts w:asciiTheme="majorBidi" w:hAnsiTheme="majorBidi" w:cstheme="majorBidi"/>
        </w:rPr>
        <w:t xml:space="preserve"> </w:t>
      </w:r>
      <w:r w:rsidR="001279DD">
        <w:rPr>
          <w:rFonts w:asciiTheme="majorBidi" w:hAnsiTheme="majorBidi" w:cstheme="majorBidi"/>
        </w:rPr>
        <w:t xml:space="preserve">to </w:t>
      </w:r>
      <w:r w:rsidRPr="00AD5722">
        <w:rPr>
          <w:rFonts w:asciiTheme="majorBidi" w:hAnsiTheme="majorBidi" w:cstheme="majorBidi"/>
        </w:rPr>
        <w:t>capture how clinicians interact with decision-support tools or whether such systems lead to measurable improvements in patient outcomes.</w:t>
      </w:r>
      <w:r w:rsidR="001279DD">
        <w:rPr>
          <w:rFonts w:asciiTheme="majorBidi" w:hAnsiTheme="majorBidi" w:cstheme="majorBidi"/>
        </w:rPr>
        <w:t xml:space="preserve"> Retrospective studies would not be considered </w:t>
      </w:r>
      <w:r w:rsidR="001279DD">
        <w:rPr>
          <w:rFonts w:asciiTheme="majorBidi" w:hAnsiTheme="majorBidi" w:cstheme="majorBidi"/>
          <w:kern w:val="0"/>
          <w14:ligatures w14:val="none"/>
        </w:rPr>
        <w:t>relevant, and methods would need to be slowly integrated into real-time clinical</w:t>
      </w:r>
      <w:r w:rsidR="001279DD">
        <w:rPr>
          <w:rFonts w:asciiTheme="majorBidi" w:hAnsiTheme="majorBidi" w:cstheme="majorBidi"/>
        </w:rPr>
        <w:t xml:space="preserve"> practice presently if machine learning gains widespread acceptance in real-time clinical settings and workflows. Showing real-time data on ADR levels and reductions in incidence, severity, or hospital stay length would provide stronger evidence of clinical usefulness.</w:t>
      </w:r>
    </w:p>
    <w:p w14:paraId="3DF2A2D6" w14:textId="763CCE79" w:rsidR="006F7614" w:rsidRPr="00AD5722" w:rsidRDefault="006F7614" w:rsidP="006F7614">
      <w:pPr>
        <w:spacing w:line="360" w:lineRule="auto"/>
        <w:rPr>
          <w:rFonts w:asciiTheme="majorBidi" w:hAnsiTheme="majorBidi" w:cstheme="majorBidi"/>
        </w:rPr>
      </w:pPr>
      <w:r w:rsidRPr="00AD5722">
        <w:rPr>
          <w:rFonts w:asciiTheme="majorBidi" w:hAnsiTheme="majorBidi" w:cstheme="majorBidi"/>
        </w:rPr>
        <w:t xml:space="preserve">Methodologically, future work could explore </w:t>
      </w:r>
      <w:r>
        <w:rPr>
          <w:rFonts w:asciiTheme="majorBidi" w:hAnsiTheme="majorBidi" w:cstheme="majorBidi"/>
        </w:rPr>
        <w:t>incorporating</w:t>
      </w:r>
      <w:r w:rsidRPr="00AD5722">
        <w:rPr>
          <w:rFonts w:asciiTheme="majorBidi" w:hAnsiTheme="majorBidi" w:cstheme="majorBidi"/>
        </w:rPr>
        <w:t xml:space="preserve"> longitudinal and temporal data, such as trends in laboratory values or </w:t>
      </w:r>
      <w:r w:rsidR="001279DD">
        <w:rPr>
          <w:rFonts w:asciiTheme="majorBidi" w:hAnsiTheme="majorBidi" w:cstheme="majorBidi"/>
        </w:rPr>
        <w:t>changes</w:t>
      </w:r>
      <w:r w:rsidRPr="00AD5722">
        <w:rPr>
          <w:rFonts w:asciiTheme="majorBidi" w:hAnsiTheme="majorBidi" w:cstheme="majorBidi"/>
        </w:rPr>
        <w:t xml:space="preserve"> </w:t>
      </w:r>
      <w:r w:rsidR="001279DD">
        <w:rPr>
          <w:rFonts w:asciiTheme="majorBidi" w:hAnsiTheme="majorBidi" w:cstheme="majorBidi"/>
        </w:rPr>
        <w:t>in medication</w:t>
      </w:r>
      <w:r w:rsidRPr="00AD5722">
        <w:rPr>
          <w:rFonts w:asciiTheme="majorBidi" w:hAnsiTheme="majorBidi" w:cstheme="majorBidi"/>
        </w:rPr>
        <w:t xml:space="preserve"> over time. These approaches may improve predictive performance while preserving interpretability, particularly when combined with explainable modelling techniques. Additionally, further investigation into strategies </w:t>
      </w:r>
      <w:r>
        <w:rPr>
          <w:rFonts w:asciiTheme="majorBidi" w:hAnsiTheme="majorBidi" w:cstheme="majorBidi"/>
        </w:rPr>
        <w:t>to</w:t>
      </w:r>
      <w:r w:rsidRPr="00AD5722">
        <w:rPr>
          <w:rFonts w:asciiTheme="majorBidi" w:hAnsiTheme="majorBidi" w:cstheme="majorBidi"/>
        </w:rPr>
        <w:t xml:space="preserve"> address class imbalance, </w:t>
      </w:r>
      <w:r>
        <w:rPr>
          <w:rFonts w:asciiTheme="majorBidi" w:hAnsiTheme="majorBidi" w:cstheme="majorBidi"/>
        </w:rPr>
        <w:t>such as</w:t>
      </w:r>
      <w:r w:rsidRPr="00AD5722">
        <w:rPr>
          <w:rFonts w:asciiTheme="majorBidi" w:hAnsiTheme="majorBidi" w:cstheme="majorBidi"/>
        </w:rPr>
        <w:t xml:space="preserve"> cost-sensitive learning or advanced resampling methods, may enhance ADR detection</w:t>
      </w:r>
      <w:r w:rsidR="001279DD">
        <w:rPr>
          <w:rFonts w:asciiTheme="majorBidi" w:hAnsiTheme="majorBidi" w:cstheme="majorBidi"/>
        </w:rPr>
        <w:t xml:space="preserve"> and the overall model validity. </w:t>
      </w:r>
    </w:p>
    <w:p w14:paraId="17BA8B73" w14:textId="558B1849" w:rsidR="004E1E3D" w:rsidRDefault="006F7614" w:rsidP="004E1E3D">
      <w:pPr>
        <w:spacing w:line="360" w:lineRule="auto"/>
        <w:rPr>
          <w:rFonts w:asciiTheme="majorBidi" w:hAnsiTheme="majorBidi" w:cstheme="majorBidi"/>
        </w:rPr>
      </w:pPr>
      <w:r w:rsidRPr="00AD5722">
        <w:rPr>
          <w:rFonts w:asciiTheme="majorBidi" w:hAnsiTheme="majorBidi" w:cstheme="majorBidi"/>
        </w:rPr>
        <w:lastRenderedPageBreak/>
        <w:t xml:space="preserve">Finally, future studies should </w:t>
      </w:r>
      <w:r>
        <w:rPr>
          <w:rFonts w:asciiTheme="majorBidi" w:hAnsiTheme="majorBidi" w:cstheme="majorBidi"/>
        </w:rPr>
        <w:t>address</w:t>
      </w:r>
      <w:r w:rsidRPr="00AD5722">
        <w:rPr>
          <w:rFonts w:asciiTheme="majorBidi" w:hAnsiTheme="majorBidi" w:cstheme="majorBidi"/>
        </w:rPr>
        <w:t xml:space="preserve"> broader ethical and implementation considerations, including model fairness, transparency, and governance. As machine learning systems become increasingly integrated into clinical care, </w:t>
      </w:r>
      <w:r w:rsidR="00511D53">
        <w:rPr>
          <w:rFonts w:asciiTheme="majorBidi" w:hAnsiTheme="majorBidi" w:cstheme="majorBidi"/>
        </w:rPr>
        <w:t xml:space="preserve">the importance of </w:t>
      </w:r>
      <w:r w:rsidRPr="00AD5722">
        <w:rPr>
          <w:rFonts w:asciiTheme="majorBidi" w:hAnsiTheme="majorBidi" w:cstheme="majorBidi"/>
        </w:rPr>
        <w:t>the</w:t>
      </w:r>
      <w:r w:rsidR="00511D53">
        <w:rPr>
          <w:rFonts w:asciiTheme="majorBidi" w:hAnsiTheme="majorBidi" w:cstheme="majorBidi"/>
        </w:rPr>
        <w:t>ir</w:t>
      </w:r>
      <w:r w:rsidRPr="00AD5722">
        <w:rPr>
          <w:rFonts w:asciiTheme="majorBidi" w:hAnsiTheme="majorBidi" w:cstheme="majorBidi"/>
        </w:rPr>
        <w:t xml:space="preserve"> support</w:t>
      </w:r>
      <w:r w:rsidR="00511D53">
        <w:rPr>
          <w:rFonts w:asciiTheme="majorBidi" w:hAnsiTheme="majorBidi" w:cstheme="majorBidi"/>
        </w:rPr>
        <w:t>ing</w:t>
      </w:r>
      <w:r w:rsidRPr="00AD5722">
        <w:rPr>
          <w:rFonts w:asciiTheme="majorBidi" w:hAnsiTheme="majorBidi" w:cstheme="majorBidi"/>
        </w:rPr>
        <w:t xml:space="preserve"> equitable and accountable decision-making will be critical. Addressing these challenges will be essential </w:t>
      </w:r>
      <w:r>
        <w:rPr>
          <w:rFonts w:asciiTheme="majorBidi" w:hAnsiTheme="majorBidi" w:cstheme="majorBidi"/>
        </w:rPr>
        <w:t>to</w:t>
      </w:r>
      <w:r w:rsidRPr="00AD5722">
        <w:rPr>
          <w:rFonts w:asciiTheme="majorBidi" w:hAnsiTheme="majorBidi" w:cstheme="majorBidi"/>
        </w:rPr>
        <w:t xml:space="preserve"> translating predictive models from research settings into safe and effective clinical tools. </w:t>
      </w:r>
    </w:p>
    <w:p w14:paraId="5C42F08B" w14:textId="77777777" w:rsidR="00E54FE5" w:rsidRDefault="00E54FE5" w:rsidP="004E1E3D">
      <w:pPr>
        <w:spacing w:line="360" w:lineRule="auto"/>
        <w:rPr>
          <w:rFonts w:asciiTheme="majorBidi" w:hAnsiTheme="majorBidi" w:cstheme="majorBidi"/>
        </w:rPr>
      </w:pPr>
    </w:p>
    <w:p w14:paraId="5B1B46C9" w14:textId="77777777" w:rsidR="00E54FE5" w:rsidRDefault="00E54FE5" w:rsidP="004E1E3D">
      <w:pPr>
        <w:spacing w:line="360" w:lineRule="auto"/>
        <w:rPr>
          <w:rFonts w:asciiTheme="majorBidi" w:hAnsiTheme="majorBidi" w:cstheme="majorBidi"/>
        </w:rPr>
      </w:pPr>
    </w:p>
    <w:p w14:paraId="05DA403F" w14:textId="77777777" w:rsidR="00872F79" w:rsidRDefault="00872F79" w:rsidP="004E1E3D">
      <w:pPr>
        <w:spacing w:line="360" w:lineRule="auto"/>
        <w:rPr>
          <w:rFonts w:asciiTheme="majorBidi" w:hAnsiTheme="majorBidi" w:cstheme="majorBidi"/>
        </w:rPr>
      </w:pPr>
    </w:p>
    <w:p w14:paraId="3595AFE6" w14:textId="77777777" w:rsidR="00872F79" w:rsidRDefault="00872F79" w:rsidP="004E1E3D">
      <w:pPr>
        <w:spacing w:line="360" w:lineRule="auto"/>
        <w:rPr>
          <w:rFonts w:asciiTheme="majorBidi" w:hAnsiTheme="majorBidi" w:cstheme="majorBidi"/>
        </w:rPr>
      </w:pPr>
    </w:p>
    <w:p w14:paraId="236B5223" w14:textId="77777777" w:rsidR="00872F79" w:rsidRDefault="00872F79" w:rsidP="004E1E3D">
      <w:pPr>
        <w:spacing w:line="360" w:lineRule="auto"/>
        <w:rPr>
          <w:rFonts w:asciiTheme="majorBidi" w:hAnsiTheme="majorBidi" w:cstheme="majorBidi"/>
        </w:rPr>
      </w:pPr>
    </w:p>
    <w:p w14:paraId="57436814" w14:textId="77777777" w:rsidR="00872F79" w:rsidRDefault="00872F79" w:rsidP="004E1E3D">
      <w:pPr>
        <w:spacing w:line="360" w:lineRule="auto"/>
        <w:rPr>
          <w:rFonts w:asciiTheme="majorBidi" w:hAnsiTheme="majorBidi" w:cstheme="majorBidi"/>
        </w:rPr>
      </w:pPr>
    </w:p>
    <w:p w14:paraId="2B5E27BB" w14:textId="77777777" w:rsidR="00872F79" w:rsidRDefault="00872F79" w:rsidP="004E1E3D">
      <w:pPr>
        <w:spacing w:line="360" w:lineRule="auto"/>
        <w:rPr>
          <w:rFonts w:asciiTheme="majorBidi" w:hAnsiTheme="majorBidi" w:cstheme="majorBidi"/>
        </w:rPr>
      </w:pPr>
    </w:p>
    <w:p w14:paraId="2F73E688" w14:textId="77777777" w:rsidR="00872F79" w:rsidRDefault="00872F79" w:rsidP="004E1E3D">
      <w:pPr>
        <w:spacing w:line="360" w:lineRule="auto"/>
        <w:rPr>
          <w:rFonts w:asciiTheme="majorBidi" w:hAnsiTheme="majorBidi" w:cstheme="majorBidi"/>
        </w:rPr>
      </w:pPr>
    </w:p>
    <w:p w14:paraId="4DD2D46F" w14:textId="77777777" w:rsidR="00872F79" w:rsidRDefault="00872F79" w:rsidP="004E1E3D">
      <w:pPr>
        <w:spacing w:line="360" w:lineRule="auto"/>
        <w:rPr>
          <w:rFonts w:asciiTheme="majorBidi" w:hAnsiTheme="majorBidi" w:cstheme="majorBidi"/>
        </w:rPr>
      </w:pPr>
    </w:p>
    <w:p w14:paraId="43C1AB79" w14:textId="77777777" w:rsidR="00872F79" w:rsidRDefault="00872F79" w:rsidP="004E1E3D">
      <w:pPr>
        <w:spacing w:line="360" w:lineRule="auto"/>
        <w:rPr>
          <w:rFonts w:asciiTheme="majorBidi" w:hAnsiTheme="majorBidi" w:cstheme="majorBidi"/>
        </w:rPr>
      </w:pPr>
    </w:p>
    <w:p w14:paraId="4F08D7CB" w14:textId="77777777" w:rsidR="00872F79" w:rsidRDefault="00872F79" w:rsidP="004E1E3D">
      <w:pPr>
        <w:spacing w:line="360" w:lineRule="auto"/>
        <w:rPr>
          <w:rFonts w:asciiTheme="majorBidi" w:hAnsiTheme="majorBidi" w:cstheme="majorBidi"/>
        </w:rPr>
      </w:pPr>
    </w:p>
    <w:p w14:paraId="65299C20" w14:textId="77777777" w:rsidR="00872F79" w:rsidRDefault="00872F79" w:rsidP="004E1E3D">
      <w:pPr>
        <w:spacing w:line="360" w:lineRule="auto"/>
        <w:rPr>
          <w:rFonts w:asciiTheme="majorBidi" w:hAnsiTheme="majorBidi" w:cstheme="majorBidi"/>
        </w:rPr>
      </w:pPr>
    </w:p>
    <w:p w14:paraId="1CB427AD" w14:textId="77777777" w:rsidR="00872F79" w:rsidRDefault="00872F79" w:rsidP="004E1E3D">
      <w:pPr>
        <w:spacing w:line="360" w:lineRule="auto"/>
        <w:rPr>
          <w:rFonts w:asciiTheme="majorBidi" w:hAnsiTheme="majorBidi" w:cstheme="majorBidi"/>
        </w:rPr>
      </w:pPr>
    </w:p>
    <w:p w14:paraId="588EF045" w14:textId="77777777" w:rsidR="00872F79" w:rsidRDefault="00872F79" w:rsidP="004E1E3D">
      <w:pPr>
        <w:spacing w:line="360" w:lineRule="auto"/>
        <w:rPr>
          <w:rFonts w:asciiTheme="majorBidi" w:hAnsiTheme="majorBidi" w:cstheme="majorBidi"/>
        </w:rPr>
      </w:pPr>
    </w:p>
    <w:p w14:paraId="0485262E" w14:textId="77777777" w:rsidR="00872F79" w:rsidRDefault="00872F79" w:rsidP="004E1E3D">
      <w:pPr>
        <w:spacing w:line="360" w:lineRule="auto"/>
        <w:rPr>
          <w:rFonts w:asciiTheme="majorBidi" w:hAnsiTheme="majorBidi" w:cstheme="majorBidi"/>
        </w:rPr>
      </w:pPr>
    </w:p>
    <w:p w14:paraId="0CAE98DF" w14:textId="77777777" w:rsidR="00872F79" w:rsidRDefault="00872F79" w:rsidP="004E1E3D">
      <w:pPr>
        <w:spacing w:line="360" w:lineRule="auto"/>
        <w:rPr>
          <w:rFonts w:asciiTheme="majorBidi" w:hAnsiTheme="majorBidi" w:cstheme="majorBidi"/>
        </w:rPr>
      </w:pPr>
    </w:p>
    <w:p w14:paraId="1920055E" w14:textId="77777777" w:rsidR="00872F79" w:rsidRDefault="00872F79" w:rsidP="004E1E3D">
      <w:pPr>
        <w:spacing w:line="360" w:lineRule="auto"/>
        <w:rPr>
          <w:rFonts w:asciiTheme="majorBidi" w:hAnsiTheme="majorBidi" w:cstheme="majorBidi"/>
        </w:rPr>
      </w:pPr>
    </w:p>
    <w:p w14:paraId="0974AC3E" w14:textId="77777777" w:rsidR="00872F79" w:rsidRDefault="00872F79" w:rsidP="004E1E3D">
      <w:pPr>
        <w:spacing w:line="360" w:lineRule="auto"/>
        <w:rPr>
          <w:rFonts w:asciiTheme="majorBidi" w:hAnsiTheme="majorBidi" w:cstheme="majorBidi"/>
        </w:rPr>
      </w:pPr>
    </w:p>
    <w:p w14:paraId="171BFD48" w14:textId="77777777" w:rsidR="00872F79" w:rsidRDefault="00872F79" w:rsidP="004E1E3D">
      <w:pPr>
        <w:spacing w:line="360" w:lineRule="auto"/>
        <w:rPr>
          <w:rFonts w:asciiTheme="majorBidi" w:hAnsiTheme="majorBidi" w:cstheme="majorBidi"/>
        </w:rPr>
      </w:pPr>
    </w:p>
    <w:p w14:paraId="02799575" w14:textId="77777777" w:rsidR="00872F79" w:rsidRDefault="00872F79" w:rsidP="004E1E3D">
      <w:pPr>
        <w:spacing w:line="360" w:lineRule="auto"/>
        <w:rPr>
          <w:rFonts w:asciiTheme="majorBidi" w:hAnsiTheme="majorBidi" w:cstheme="majorBidi"/>
        </w:rPr>
      </w:pPr>
    </w:p>
    <w:p w14:paraId="5978269D" w14:textId="77777777" w:rsidR="00E54FE5" w:rsidRPr="00AD5722" w:rsidRDefault="00E54FE5" w:rsidP="00E54FE5">
      <w:pPr>
        <w:pStyle w:val="ListParagraph"/>
        <w:numPr>
          <w:ilvl w:val="0"/>
          <w:numId w:val="3"/>
        </w:numPr>
        <w:rPr>
          <w:b/>
          <w:bCs/>
          <w:sz w:val="28"/>
          <w:szCs w:val="28"/>
        </w:rPr>
      </w:pPr>
      <w:r w:rsidRPr="00AD5722">
        <w:rPr>
          <w:b/>
          <w:bCs/>
          <w:sz w:val="28"/>
          <w:szCs w:val="28"/>
        </w:rPr>
        <w:lastRenderedPageBreak/>
        <w:t>References</w:t>
      </w:r>
    </w:p>
    <w:p w14:paraId="76BFE2DF" w14:textId="77777777" w:rsidR="00A022A5" w:rsidRPr="00A022A5" w:rsidRDefault="00E54FE5" w:rsidP="00A022A5">
      <w:pPr>
        <w:pStyle w:val="Bibliography"/>
        <w:rPr>
          <w:rFonts w:ascii="Calibri" w:hAnsi="Calibri" w:cs="Calibri"/>
        </w:rPr>
      </w:pPr>
      <w:r>
        <w:fldChar w:fldCharType="begin"/>
      </w:r>
      <w:r>
        <w:instrText xml:space="preserve"> ADDIN ZOTERO_BIBL {"uncited":[],"omitted":[],"custom":[]} CSL_BIBLIOGRAPHY </w:instrText>
      </w:r>
      <w:r>
        <w:fldChar w:fldCharType="separate"/>
      </w:r>
      <w:r w:rsidR="00A022A5" w:rsidRPr="00A022A5">
        <w:rPr>
          <w:rFonts w:ascii="Calibri" w:hAnsi="Calibri" w:cs="Calibri"/>
        </w:rPr>
        <w:t>Bate, A., Evans, S.J.W., 2009. Quantitative signal detection using spontaneous ADR reporting. Pharmacoepidemiol Drug Saf 18, 427–436. https://doi.org/10.1002/pds.1742</w:t>
      </w:r>
    </w:p>
    <w:p w14:paraId="3A6F71A9" w14:textId="77777777" w:rsidR="00A022A5" w:rsidRPr="00A022A5" w:rsidRDefault="00A022A5" w:rsidP="00A022A5">
      <w:pPr>
        <w:pStyle w:val="Bibliography"/>
        <w:rPr>
          <w:rFonts w:ascii="Calibri" w:hAnsi="Calibri" w:cs="Calibri"/>
        </w:rPr>
      </w:pPr>
      <w:r w:rsidRPr="00A022A5">
        <w:rPr>
          <w:rFonts w:ascii="Calibri" w:hAnsi="Calibri" w:cs="Calibri"/>
        </w:rPr>
        <w:t>Chiang, C.-W., Zhang, P., Donneyong, M., Chen, Y., Su, Y., Li, L., 2021. Random control selection for conducting high-throughput adverse drug events screening using large-scale longitudinal health data. CPT: Pharmacometrics &amp; Systems Pharmacology 10, 1032–1042. https://doi.org/10.1002/psp4.12673</w:t>
      </w:r>
    </w:p>
    <w:p w14:paraId="6068228E" w14:textId="77777777" w:rsidR="00A022A5" w:rsidRPr="00A022A5" w:rsidRDefault="00A022A5" w:rsidP="00A022A5">
      <w:pPr>
        <w:pStyle w:val="Bibliography"/>
        <w:rPr>
          <w:rFonts w:ascii="Calibri" w:hAnsi="Calibri" w:cs="Calibri"/>
        </w:rPr>
      </w:pPr>
      <w:r w:rsidRPr="00A022A5">
        <w:rPr>
          <w:rFonts w:ascii="Calibri" w:hAnsi="Calibri" w:cs="Calibri"/>
        </w:rPr>
        <w:t>Chiu, L.-W., Ku, Y.-E., Chan, F.-Y., Lie, W.-N., Chao, H.-J., Wang, S.-Y., Shen, W.-C., Chen, H.-Y., 2024. Machine learning algorithms to predict colistin-induced nephrotoxicity from electronic health records in patients with multidrug-resistant Gram-negative infection. International Journal of Antimicrobial Agents 64, 107175. https://doi.org/10.1016/j.ijantimicag.2024.107175</w:t>
      </w:r>
    </w:p>
    <w:p w14:paraId="16028A57" w14:textId="77777777" w:rsidR="00A022A5" w:rsidRPr="00A022A5" w:rsidRDefault="00A022A5" w:rsidP="00A022A5">
      <w:pPr>
        <w:pStyle w:val="Bibliography"/>
        <w:rPr>
          <w:rFonts w:ascii="Calibri" w:hAnsi="Calibri" w:cs="Calibri"/>
        </w:rPr>
      </w:pPr>
      <w:r w:rsidRPr="00A022A5">
        <w:rPr>
          <w:rFonts w:ascii="Calibri" w:hAnsi="Calibri" w:cs="Calibri"/>
        </w:rPr>
        <w:t>Coleman, J.J., Pontefract, S.K., 2016. Adverse drug reactions. Clin Med (Lond) 16, 481–485. https://doi.org/10.7861/clinmedicine.16-5-481</w:t>
      </w:r>
    </w:p>
    <w:p w14:paraId="7A81DC88" w14:textId="77777777" w:rsidR="00A022A5" w:rsidRPr="00A022A5" w:rsidRDefault="00A022A5" w:rsidP="00A022A5">
      <w:pPr>
        <w:pStyle w:val="Bibliography"/>
        <w:rPr>
          <w:rFonts w:ascii="Calibri" w:hAnsi="Calibri" w:cs="Calibri"/>
        </w:rPr>
      </w:pPr>
      <w:r w:rsidRPr="00A022A5">
        <w:rPr>
          <w:rFonts w:ascii="Calibri" w:hAnsi="Calibri" w:cs="Calibri"/>
        </w:rPr>
        <w:t>Datta, A., Flynn, N.R., Barnette, D.A., Woeltje, K.F., Miller, G.P., Swamidass, S.J., 2021. Machine learning liver-injuring drug interactions with non-steroidal anti-inflammatory drugs (NSAIDs) from a retrospective electronic health record (EHR) cohort. PLoS Comput Biol 17, e1009053. https://doi.org/10.1371/journal.pcbi.1009053</w:t>
      </w:r>
    </w:p>
    <w:p w14:paraId="62F63EB2" w14:textId="77777777" w:rsidR="00A022A5" w:rsidRPr="00A022A5" w:rsidRDefault="00A022A5" w:rsidP="00A022A5">
      <w:pPr>
        <w:pStyle w:val="Bibliography"/>
        <w:rPr>
          <w:rFonts w:ascii="Calibri" w:hAnsi="Calibri" w:cs="Calibri"/>
        </w:rPr>
      </w:pPr>
      <w:r w:rsidRPr="00A022A5">
        <w:rPr>
          <w:rFonts w:ascii="Calibri" w:hAnsi="Calibri" w:cs="Calibri"/>
        </w:rPr>
        <w:t>Dsouza, V.S., Leyens, L., Kurian, J.R., Brand, A., Brand, H., 2025a. Artificial intelligence (AI) in pharmacovigilance: A systematic review on predicting adverse drug reactions (ADR) in hospitalized patients. Research in Social and Administrative Pharmacy 21, 453–462. https://doi.org/10.1016/j.sapharm.2025.02.008</w:t>
      </w:r>
    </w:p>
    <w:p w14:paraId="1BD02515" w14:textId="77777777" w:rsidR="00A022A5" w:rsidRPr="00A022A5" w:rsidRDefault="00A022A5" w:rsidP="00A022A5">
      <w:pPr>
        <w:pStyle w:val="Bibliography"/>
        <w:rPr>
          <w:rFonts w:ascii="Calibri" w:hAnsi="Calibri" w:cs="Calibri"/>
        </w:rPr>
      </w:pPr>
      <w:r w:rsidRPr="00A022A5">
        <w:rPr>
          <w:rFonts w:ascii="Calibri" w:hAnsi="Calibri" w:cs="Calibri"/>
        </w:rPr>
        <w:t>Dsouza, V.S., Leyens, L., Kurian, J.R., Brand, A., Brand, H., 2025b. Artificial intelligence (AI) in pharmacovigilance: A systematic review on predicting adverse drug reactions (ADR) in hospitalized patients. Research in Social and Administrative Pharmacy 21, 453–462. https://doi.org/10.1016/j.sapharm.2025.02.008</w:t>
      </w:r>
    </w:p>
    <w:p w14:paraId="1B2B581E" w14:textId="77777777" w:rsidR="00A022A5" w:rsidRPr="00A022A5" w:rsidRDefault="00A022A5" w:rsidP="00A022A5">
      <w:pPr>
        <w:pStyle w:val="Bibliography"/>
        <w:rPr>
          <w:rFonts w:ascii="Calibri" w:hAnsi="Calibri" w:cs="Calibri"/>
        </w:rPr>
      </w:pPr>
      <w:r w:rsidRPr="00A022A5">
        <w:rPr>
          <w:rFonts w:ascii="Calibri" w:hAnsi="Calibri" w:cs="Calibri"/>
        </w:rPr>
        <w:t>Full article: Changing paradigms in detecting rare adverse drug reactions: from disproportionality analysis, old and new, to machine learning [WWW Document], n.d. URL https://www.tandfonline.com/doi/full/10.1080/14740338.2022.2131770#abstract (accessed 12.11.25).</w:t>
      </w:r>
    </w:p>
    <w:p w14:paraId="68E0474B" w14:textId="77777777" w:rsidR="00A022A5" w:rsidRPr="00A022A5" w:rsidRDefault="00A022A5" w:rsidP="00A022A5">
      <w:pPr>
        <w:pStyle w:val="Bibliography"/>
        <w:rPr>
          <w:rFonts w:ascii="Calibri" w:hAnsi="Calibri" w:cs="Calibri"/>
        </w:rPr>
      </w:pPr>
      <w:r w:rsidRPr="00A022A5">
        <w:rPr>
          <w:rFonts w:ascii="Calibri" w:hAnsi="Calibri" w:cs="Calibri"/>
        </w:rPr>
        <w:t>Ghosh, K., Bellinger, C., Corizzo, R., Branco, P., Krawczyk, B., Japkowicz, N., 2024. The class imbalance problem in deep learning. Mach Learn 113, 4845–4901. https://doi.org/10.1007/s10994-022-06268-8</w:t>
      </w:r>
    </w:p>
    <w:p w14:paraId="7F1C04A0" w14:textId="77777777" w:rsidR="00A022A5" w:rsidRPr="00A022A5" w:rsidRDefault="00A022A5" w:rsidP="00A022A5">
      <w:pPr>
        <w:pStyle w:val="Bibliography"/>
        <w:rPr>
          <w:rFonts w:ascii="Calibri" w:hAnsi="Calibri" w:cs="Calibri"/>
        </w:rPr>
      </w:pPr>
      <w:r w:rsidRPr="00A022A5">
        <w:rPr>
          <w:rFonts w:ascii="Calibri" w:hAnsi="Calibri" w:cs="Calibri"/>
        </w:rPr>
        <w:t>He, M., Shi, Y., Han, F., Cai, Y., 2025. Prediction of adverse drug reactions based on pharmacogenomics combination features: a preliminary study. Front. Pharmacol. 16, 1448106. https://doi.org/10.3389/fphar.2025.1448106</w:t>
      </w:r>
    </w:p>
    <w:p w14:paraId="70EA5C0B" w14:textId="77777777" w:rsidR="00A022A5" w:rsidRPr="00A022A5" w:rsidRDefault="00A022A5" w:rsidP="00A022A5">
      <w:pPr>
        <w:pStyle w:val="Bibliography"/>
        <w:rPr>
          <w:rFonts w:ascii="Calibri" w:hAnsi="Calibri" w:cs="Calibri"/>
        </w:rPr>
      </w:pPr>
      <w:r w:rsidRPr="00A022A5">
        <w:rPr>
          <w:rFonts w:ascii="Calibri" w:hAnsi="Calibri" w:cs="Calibri"/>
        </w:rPr>
        <w:t>Hu, Q., Chen, Y., Zou, D., He, Z., Xu, T., 2024. Predicting adverse drug event using machine learning based on electronic health records: a systematic review and meta-analysis. Front. Pharmacol. 15. https://doi.org/10.3389/fphar.2024.1497397</w:t>
      </w:r>
    </w:p>
    <w:p w14:paraId="69D9FDD1" w14:textId="77777777" w:rsidR="00A022A5" w:rsidRPr="00A022A5" w:rsidRDefault="00A022A5" w:rsidP="00A022A5">
      <w:pPr>
        <w:pStyle w:val="Bibliography"/>
        <w:rPr>
          <w:rFonts w:ascii="Calibri" w:hAnsi="Calibri" w:cs="Calibri"/>
        </w:rPr>
      </w:pPr>
      <w:r w:rsidRPr="00A022A5">
        <w:rPr>
          <w:rFonts w:ascii="Calibri" w:hAnsi="Calibri" w:cs="Calibri"/>
        </w:rPr>
        <w:t>Ietswaart, R., Arat, S., Chen, A.X., Farahmand, S., Kim, B., DuMouchel, W., Armstrong, D., Fekete, A., Sutherland, J.J., Urban, L., 2020. Machine learning guided association of adverse drug reactions with in vitro target-based pharmacology. EBioMedicine 57, 102837. https://doi.org/10.1016/j.ebiom.2020.102837</w:t>
      </w:r>
    </w:p>
    <w:p w14:paraId="6AEB2373" w14:textId="77777777" w:rsidR="00A022A5" w:rsidRPr="00A022A5" w:rsidRDefault="00A022A5" w:rsidP="00A022A5">
      <w:pPr>
        <w:pStyle w:val="Bibliography"/>
        <w:rPr>
          <w:rFonts w:ascii="Calibri" w:hAnsi="Calibri" w:cs="Calibri"/>
        </w:rPr>
      </w:pPr>
      <w:r w:rsidRPr="00A022A5">
        <w:rPr>
          <w:rFonts w:ascii="Calibri" w:hAnsi="Calibri" w:cs="Calibri"/>
        </w:rPr>
        <w:t>Inácio, P., Cavaco, A., Airaksinen, M., 2017. The value of patient reporting to the pharmacovigilance system: a systematic review. Br J Clin Pharmacol 83, 227–246. https://doi.org/10.1111/bcp.13098</w:t>
      </w:r>
    </w:p>
    <w:p w14:paraId="59BBDB87" w14:textId="77777777" w:rsidR="00A022A5" w:rsidRPr="00A022A5" w:rsidRDefault="00A022A5" w:rsidP="00A022A5">
      <w:pPr>
        <w:pStyle w:val="Bibliography"/>
        <w:rPr>
          <w:rFonts w:ascii="Calibri" w:hAnsi="Calibri" w:cs="Calibri"/>
        </w:rPr>
      </w:pPr>
      <w:r w:rsidRPr="00A022A5">
        <w:rPr>
          <w:rFonts w:ascii="Calibri" w:hAnsi="Calibri" w:cs="Calibri"/>
        </w:rPr>
        <w:lastRenderedPageBreak/>
        <w:t>Karuppannan, M., Mohamad Rizal, N.A.N., Wong, K.-T., Mohd. Ali, S., Ting, K.-N., Boardman, H., 2022. Pharmacists’ experiences on adverse drug reaction: 10 years later. Front. Pharmacol. 13, 932942. https://doi.org/10.3389/fphar.2022.932942</w:t>
      </w:r>
    </w:p>
    <w:p w14:paraId="16E1A17D" w14:textId="77777777" w:rsidR="00A022A5" w:rsidRPr="00A022A5" w:rsidRDefault="00A022A5" w:rsidP="00A022A5">
      <w:pPr>
        <w:pStyle w:val="Bibliography"/>
        <w:rPr>
          <w:rFonts w:ascii="Calibri" w:hAnsi="Calibri" w:cs="Calibri"/>
        </w:rPr>
      </w:pPr>
      <w:r w:rsidRPr="00A022A5">
        <w:rPr>
          <w:rFonts w:ascii="Calibri" w:hAnsi="Calibri" w:cs="Calibri"/>
        </w:rPr>
        <w:t>Khemani, Dr.B., Malave, Dr.S., Shinde, S., Shukla, M., Shikalgar, R., Talwar, H., 2025. AI-driven pharmacovigilance: Enhancing adverse drug reaction detection with deep learning and NLP. MethodsX 15, 103460. https://doi.org/10.1016/j.mex.2025.103460</w:t>
      </w:r>
    </w:p>
    <w:p w14:paraId="68FCEAE9" w14:textId="77777777" w:rsidR="00A022A5" w:rsidRPr="00A022A5" w:rsidRDefault="00A022A5" w:rsidP="00A022A5">
      <w:pPr>
        <w:pStyle w:val="Bibliography"/>
        <w:rPr>
          <w:rFonts w:ascii="Calibri" w:hAnsi="Calibri" w:cs="Calibri"/>
        </w:rPr>
      </w:pPr>
      <w:r w:rsidRPr="00A022A5">
        <w:rPr>
          <w:rFonts w:ascii="Calibri" w:hAnsi="Calibri" w:cs="Calibri"/>
        </w:rPr>
        <w:t>Kim, H.R., Sung, M., Park, J.A., Jeong, K., Kim, H.H., Lee, S., Park, Y.R., 2022. Analyzing adverse drug reaction using statistical and machine learning methods. Medicine (Baltimore) 101, e29387. https://doi.org/10.1097/MD.0000000000029387</w:t>
      </w:r>
    </w:p>
    <w:p w14:paraId="49CCD6D1" w14:textId="77777777" w:rsidR="00A022A5" w:rsidRPr="00A022A5" w:rsidRDefault="00A022A5" w:rsidP="00A022A5">
      <w:pPr>
        <w:pStyle w:val="Bibliography"/>
        <w:rPr>
          <w:rFonts w:ascii="Calibri" w:hAnsi="Calibri" w:cs="Calibri"/>
        </w:rPr>
      </w:pPr>
      <w:r w:rsidRPr="00A022A5">
        <w:rPr>
          <w:rFonts w:ascii="Calibri" w:hAnsi="Calibri" w:cs="Calibri"/>
        </w:rPr>
        <w:t>Kim, M.G., Kim, J., Kim, S.C., Jeong, J., 2020. Twitter Analysis of the Nonmedical Use and Side Effects of Methylphenidate: Machine Learning Study. J Med Internet Res 22, e16466. https://doi.org/10.2196/16466</w:t>
      </w:r>
    </w:p>
    <w:p w14:paraId="5259F886" w14:textId="77777777" w:rsidR="00A022A5" w:rsidRPr="00A022A5" w:rsidRDefault="00A022A5" w:rsidP="00A022A5">
      <w:pPr>
        <w:pStyle w:val="Bibliography"/>
        <w:rPr>
          <w:rFonts w:ascii="Calibri" w:hAnsi="Calibri" w:cs="Calibri"/>
        </w:rPr>
      </w:pPr>
      <w:r w:rsidRPr="00A022A5">
        <w:rPr>
          <w:rFonts w:ascii="Calibri" w:hAnsi="Calibri" w:cs="Calibri"/>
        </w:rPr>
        <w:t>Laroche, M., Tarbouriech, N., Jai, T., Valnet‐Rabier, M., Nerich, V., 2025. Economic burden of hospital admissions for adverse drug reactions in France: The IATROSTAT‐ECO study. Brit J Clinical Pharma 91, 439–450. https://doi.org/10.1111/bcp.16266</w:t>
      </w:r>
    </w:p>
    <w:p w14:paraId="60A01C65" w14:textId="77777777" w:rsidR="00A022A5" w:rsidRPr="00A022A5" w:rsidRDefault="00A022A5" w:rsidP="00A022A5">
      <w:pPr>
        <w:pStyle w:val="Bibliography"/>
        <w:rPr>
          <w:rFonts w:ascii="Calibri" w:hAnsi="Calibri" w:cs="Calibri"/>
        </w:rPr>
      </w:pPr>
      <w:r w:rsidRPr="00A022A5">
        <w:rPr>
          <w:rFonts w:ascii="Calibri" w:hAnsi="Calibri" w:cs="Calibri"/>
        </w:rPr>
        <w:t>Lima, S.I.V.C., Martins, R.R., Saldanha, V., Silbiger, V.N., Santos, I.C.C. dos, Araújo, I.B. de, Oliveira, A.G., 2020. Development and validation of a clinical instrument to predict risk of an adverse drug reactions in hospitalized patients. PLOS ONE 15, e0243714. https://doi.org/10.1371/journal.pone.0243714</w:t>
      </w:r>
    </w:p>
    <w:p w14:paraId="796E4839" w14:textId="77777777" w:rsidR="00A022A5" w:rsidRPr="00A022A5" w:rsidRDefault="00A022A5" w:rsidP="00A022A5">
      <w:pPr>
        <w:pStyle w:val="Bibliography"/>
        <w:rPr>
          <w:rFonts w:ascii="Calibri" w:hAnsi="Calibri" w:cs="Calibri"/>
        </w:rPr>
      </w:pPr>
      <w:r w:rsidRPr="00A022A5">
        <w:rPr>
          <w:rFonts w:ascii="Calibri" w:hAnsi="Calibri" w:cs="Calibri"/>
        </w:rPr>
        <w:t>Lu, Y.-T., Chao, H.-J., Chiang, Y.-C., Chen, H.-Y., 2023. Explainable Machine Learning Techniques To Predict Amiodarone-Induced Thyroid Dysfunction Risk: Multicenter, Retrospective Study With External Validation. J Med Internet Res 25, e43734. https://doi.org/10.2196/43734</w:t>
      </w:r>
    </w:p>
    <w:p w14:paraId="16D5A460" w14:textId="77777777" w:rsidR="00A022A5" w:rsidRPr="00A022A5" w:rsidRDefault="00A022A5" w:rsidP="00A022A5">
      <w:pPr>
        <w:pStyle w:val="Bibliography"/>
        <w:rPr>
          <w:rFonts w:ascii="Calibri" w:hAnsi="Calibri" w:cs="Calibri"/>
        </w:rPr>
      </w:pPr>
      <w:r w:rsidRPr="00A022A5">
        <w:rPr>
          <w:rFonts w:ascii="Calibri" w:hAnsi="Calibri" w:cs="Calibri"/>
        </w:rPr>
        <w:t>Mongkhonmath, N., Olson, P.S., Puttarak, P., Chaiyakunapruk, N., Sawangjit, R., 2025. Systematic review and meta-analysis on effectiveness of strategies for enhancing adverse drug reaction reporting. Journal of the American Pharmacists Association 65, 102293. https://doi.org/10.1016/j.japh.2024.102293</w:t>
      </w:r>
    </w:p>
    <w:p w14:paraId="1D0FBF7C" w14:textId="77777777" w:rsidR="00A022A5" w:rsidRPr="00A022A5" w:rsidRDefault="00A022A5" w:rsidP="00A022A5">
      <w:pPr>
        <w:pStyle w:val="Bibliography"/>
        <w:rPr>
          <w:rFonts w:ascii="Calibri" w:hAnsi="Calibri" w:cs="Calibri"/>
        </w:rPr>
      </w:pPr>
      <w:r w:rsidRPr="00A022A5">
        <w:rPr>
          <w:rFonts w:ascii="Calibri" w:hAnsi="Calibri" w:cs="Calibri"/>
        </w:rPr>
        <w:t>Montané, E., Santesmases, J., 2020. Adverse drug reactions. Medicina Clínica (English Edition) 154, 178–184. https://doi.org/10.1016/j.medcle.2019.08.005</w:t>
      </w:r>
    </w:p>
    <w:p w14:paraId="0031ABE7" w14:textId="77777777" w:rsidR="00A022A5" w:rsidRPr="00A022A5" w:rsidRDefault="00A022A5" w:rsidP="00A022A5">
      <w:pPr>
        <w:pStyle w:val="Bibliography"/>
        <w:rPr>
          <w:rFonts w:ascii="Calibri" w:hAnsi="Calibri" w:cs="Calibri"/>
        </w:rPr>
      </w:pPr>
      <w:r w:rsidRPr="00A022A5">
        <w:rPr>
          <w:rFonts w:ascii="Calibri" w:hAnsi="Calibri" w:cs="Calibri"/>
        </w:rPr>
        <w:t>Nwokedi, V.U., Odedele, M.K., Yusuff, T.A., Anderson, I.A., Akanbi, O.O., Agu, C.P., Omoike, A.O., 2025. Developing and Validating Predictive Models for Adverse Drug Reactions using Electronic Health Records (EHRs): A Narrative Review. Epidemiology and Health Data Insights 1, ehdi019. https://doi.org/10.63946/ehdi/17369</w:t>
      </w:r>
    </w:p>
    <w:p w14:paraId="0C9C64B5" w14:textId="77777777" w:rsidR="00A022A5" w:rsidRPr="00A022A5" w:rsidRDefault="00A022A5" w:rsidP="00A022A5">
      <w:pPr>
        <w:pStyle w:val="Bibliography"/>
        <w:rPr>
          <w:rFonts w:ascii="Calibri" w:hAnsi="Calibri" w:cs="Calibri"/>
        </w:rPr>
      </w:pPr>
      <w:r w:rsidRPr="00A022A5">
        <w:rPr>
          <w:rFonts w:ascii="Calibri" w:hAnsi="Calibri" w:cs="Calibri"/>
        </w:rPr>
        <w:t>Osanlou, R., Walker, L., Hughes, D.A., Burnside, G., Pirmohamed, M., 2022. Adverse drug reactions, multimorbidity and polypharmacy: a prospective analysis of 1 month of medical admissions. BMJ Open 12, e055551. https://doi.org/10.1136/bmjopen-2021-055551</w:t>
      </w:r>
    </w:p>
    <w:p w14:paraId="66D0388A" w14:textId="77777777" w:rsidR="00A022A5" w:rsidRPr="00A022A5" w:rsidRDefault="00A022A5" w:rsidP="00A022A5">
      <w:pPr>
        <w:pStyle w:val="Bibliography"/>
        <w:rPr>
          <w:rFonts w:ascii="Calibri" w:hAnsi="Calibri" w:cs="Calibri"/>
        </w:rPr>
      </w:pPr>
      <w:r w:rsidRPr="00A022A5">
        <w:rPr>
          <w:rFonts w:ascii="Calibri" w:hAnsi="Calibri" w:cs="Calibri"/>
        </w:rPr>
        <w:t>Pilipiec, P., Liwicki, M., Bota, A., Pilipiec, P., Liwicki, M., Bota, A., 2022. Using Machine Learning for Pharmacovigilance: A Systematic Review. Pharmaceutics 14. https://doi.org/10.3390/pharmaceutics14020266</w:t>
      </w:r>
    </w:p>
    <w:p w14:paraId="5D15E49B" w14:textId="77777777" w:rsidR="00A022A5" w:rsidRPr="00A022A5" w:rsidRDefault="00A022A5" w:rsidP="00A022A5">
      <w:pPr>
        <w:pStyle w:val="Bibliography"/>
        <w:rPr>
          <w:rFonts w:ascii="Calibri" w:hAnsi="Calibri" w:cs="Calibri"/>
        </w:rPr>
      </w:pPr>
      <w:r w:rsidRPr="00A022A5">
        <w:rPr>
          <w:rFonts w:ascii="Calibri" w:hAnsi="Calibri" w:cs="Calibri"/>
        </w:rPr>
        <w:t>Pirmohamed, M., James, S., Meakin, S., Green, C., Scott, A.K., Walley, T.J., Farrar, K., Park, B.K., Breckenridge, A.M., 2004. Adverse drug reactions as cause of admission to hospital: prospective analysis of 18 820 patients. BMJ 329, 15–19. https://doi.org/10.1136/bmj.329.7456.15</w:t>
      </w:r>
    </w:p>
    <w:p w14:paraId="2BF0011A" w14:textId="77777777" w:rsidR="00A022A5" w:rsidRPr="00A022A5" w:rsidRDefault="00A022A5" w:rsidP="00A022A5">
      <w:pPr>
        <w:pStyle w:val="Bibliography"/>
        <w:rPr>
          <w:rFonts w:ascii="Calibri" w:hAnsi="Calibri" w:cs="Calibri"/>
        </w:rPr>
      </w:pPr>
      <w:r w:rsidRPr="00A022A5">
        <w:rPr>
          <w:rFonts w:ascii="Calibri" w:hAnsi="Calibri" w:cs="Calibri"/>
        </w:rPr>
        <w:t>Quik, J.M., Gosselt, H.R., Van Lint, J.A., Kosse, L.J., Ten Klooster, P.M., Vonkeman, H.E., Van Den Bemt, B.J.F., Jessurun, N.T., 2025. The burden of adverse drug reactions reported by patients in the Dutch ADR monitor: a proof of concept. Expert Opinion on Drug Safety 24, 1023–1033. https://doi.org/10.1080/14740338.2024.2383707</w:t>
      </w:r>
    </w:p>
    <w:p w14:paraId="3167006A" w14:textId="77777777" w:rsidR="00A022A5" w:rsidRPr="00A022A5" w:rsidRDefault="00A022A5" w:rsidP="00A022A5">
      <w:pPr>
        <w:pStyle w:val="Bibliography"/>
        <w:rPr>
          <w:rFonts w:ascii="Calibri" w:hAnsi="Calibri" w:cs="Calibri"/>
        </w:rPr>
      </w:pPr>
      <w:r w:rsidRPr="00A022A5">
        <w:rPr>
          <w:rFonts w:ascii="Calibri" w:hAnsi="Calibri" w:cs="Calibri"/>
        </w:rPr>
        <w:t>Sommer, J., Viviani, R., Wozniak, J., Stingl, J.C., Just, K.S., 2024. Dealing with adverse drug reactions in the context of polypharmacy using regression models. Sci Rep 14, 27355. https://doi.org/10.1038/s41598-024-78474-4</w:t>
      </w:r>
    </w:p>
    <w:p w14:paraId="57879E4D" w14:textId="77777777" w:rsidR="00A022A5" w:rsidRPr="00A022A5" w:rsidRDefault="00A022A5" w:rsidP="00A022A5">
      <w:pPr>
        <w:pStyle w:val="Bibliography"/>
        <w:rPr>
          <w:rFonts w:ascii="Calibri" w:hAnsi="Calibri" w:cs="Calibri"/>
        </w:rPr>
      </w:pPr>
      <w:r w:rsidRPr="00A022A5">
        <w:rPr>
          <w:rFonts w:ascii="Calibri" w:hAnsi="Calibri" w:cs="Calibri"/>
        </w:rPr>
        <w:lastRenderedPageBreak/>
        <w:t>Suh, D.C., Woodall, B.S., Shin, S.K., Hermes-De Santis, E.R., 2000. Clinical and economic impact of adverse drug reactions in hospitalized patients. Ann Pharmacother 34, 1373–1379. https://doi.org/10.1345/aph.10094</w:t>
      </w:r>
    </w:p>
    <w:p w14:paraId="08D0C7DE" w14:textId="77777777" w:rsidR="00A022A5" w:rsidRPr="00A022A5" w:rsidRDefault="00A022A5" w:rsidP="00A022A5">
      <w:pPr>
        <w:pStyle w:val="Bibliography"/>
        <w:rPr>
          <w:rFonts w:ascii="Calibri" w:hAnsi="Calibri" w:cs="Calibri"/>
        </w:rPr>
      </w:pPr>
      <w:r w:rsidRPr="00A022A5">
        <w:rPr>
          <w:rFonts w:ascii="Calibri" w:hAnsi="Calibri" w:cs="Calibri"/>
        </w:rPr>
        <w:t>Tan, H.X., Teo, C.H.D., Ang, P.S., Loke, W.P.C., Tham, M.Y., Tan, S.H., Soh, B.L.S., Foo, P.Q.B., Ling, Z.J., Yip, W.L.J., Tang, Y., Yang, J., Tung, K.H.A., Dorajoo, S.R., 2022. Combining Machine Learning with a Rule-Based Algorithm to Detect and Identify Related Entities of Documented Adverse Drug Reactions on Hospital Discharge Summaries. Drug Saf 45, 853–862. https://doi.org/10.1007/s40264-022-01196-x</w:t>
      </w:r>
    </w:p>
    <w:p w14:paraId="4C904599" w14:textId="77777777" w:rsidR="00A022A5" w:rsidRPr="00A022A5" w:rsidRDefault="00A022A5" w:rsidP="00A022A5">
      <w:pPr>
        <w:pStyle w:val="Bibliography"/>
        <w:rPr>
          <w:rFonts w:ascii="Calibri" w:hAnsi="Calibri" w:cs="Calibri"/>
        </w:rPr>
      </w:pPr>
      <w:r w:rsidRPr="00A022A5">
        <w:rPr>
          <w:rFonts w:ascii="Calibri" w:hAnsi="Calibri" w:cs="Calibri"/>
        </w:rPr>
        <w:t>Van Dung, H., Tan, V.M., Dieu, N.T., Van Linh, P., Van Khai, N., Ngan, T.T., Phuong, N.T.T., 2025a. Development and external validation of a machine learning model for predicting drug-induced immune thrombocytopenia in a real-world hospital cohort. BMC Med Inform Decis Mak 25, 265. https://doi.org/10.1186/s12911-025-03107-3</w:t>
      </w:r>
    </w:p>
    <w:p w14:paraId="55CAD007" w14:textId="77777777" w:rsidR="00A022A5" w:rsidRPr="00A022A5" w:rsidRDefault="00A022A5" w:rsidP="00A022A5">
      <w:pPr>
        <w:pStyle w:val="Bibliography"/>
        <w:rPr>
          <w:rFonts w:ascii="Calibri" w:hAnsi="Calibri" w:cs="Calibri"/>
        </w:rPr>
      </w:pPr>
      <w:r w:rsidRPr="00A022A5">
        <w:rPr>
          <w:rFonts w:ascii="Calibri" w:hAnsi="Calibri" w:cs="Calibri"/>
        </w:rPr>
        <w:t>Van Dung, H., Tan, V.M., Dieu, N.T., Van Linh, P., Van Khai, N., Ngan, T.T., Phuong, N.T.T., 2025b. Development and external validation of a machine learning model for predicting drug-induced immune thrombocytopenia in a real-world hospital cohort. BMC Med Inform Decis Mak 25, 265. https://doi.org/10.1186/s12911-025-03107-3</w:t>
      </w:r>
    </w:p>
    <w:p w14:paraId="609B8764" w14:textId="77777777" w:rsidR="00A022A5" w:rsidRPr="00A022A5" w:rsidRDefault="00A022A5" w:rsidP="00A022A5">
      <w:pPr>
        <w:pStyle w:val="Bibliography"/>
        <w:rPr>
          <w:rFonts w:ascii="Calibri" w:hAnsi="Calibri" w:cs="Calibri"/>
        </w:rPr>
      </w:pPr>
      <w:r w:rsidRPr="00A022A5">
        <w:rPr>
          <w:rFonts w:ascii="Calibri" w:hAnsi="Calibri" w:cs="Calibri"/>
        </w:rPr>
        <w:t>Ward, I.R., Wang, L., Lu, J., Bennamoun, M., Dwivedi, G., Sanfilippo, F.M., 2021. Explainable artificial intelligence for pharmacovigilance: What features are important when predicting adverse outcomes? Computer Methods and Programs in Biomedicine 212, 106415. https://doi.org/10.1016/j.cmpb.2021.106415</w:t>
      </w:r>
    </w:p>
    <w:p w14:paraId="49A5E1EB" w14:textId="77777777" w:rsidR="00A022A5" w:rsidRPr="00A022A5" w:rsidRDefault="00A022A5" w:rsidP="00A022A5">
      <w:pPr>
        <w:pStyle w:val="Bibliography"/>
        <w:rPr>
          <w:rFonts w:ascii="Calibri" w:hAnsi="Calibri" w:cs="Calibri"/>
        </w:rPr>
      </w:pPr>
      <w:r w:rsidRPr="00A022A5">
        <w:rPr>
          <w:rFonts w:ascii="Calibri" w:hAnsi="Calibri" w:cs="Calibri"/>
        </w:rPr>
        <w:t>Westerink, H.J., Kosse, L.J., Jessurun, N.T., Tubergen, A.V., Vonkeman, H.E., Nurmohamed, M.T., Van Den Bemt, B.J.F., De Vries, M., 2023. Patients’ and health-care professionals’ perspectives on adverse drug reaction burden attributed to the use of biological DMARDs: a qualitative study. Expert Opinion on Drug Safety 22, 417–424. https://doi.org/10.1080/14740338.2023.2134344</w:t>
      </w:r>
    </w:p>
    <w:p w14:paraId="7BD8BEFF" w14:textId="77777777" w:rsidR="00A022A5" w:rsidRPr="00A022A5" w:rsidRDefault="00A022A5" w:rsidP="00A022A5">
      <w:pPr>
        <w:pStyle w:val="Bibliography"/>
        <w:rPr>
          <w:rFonts w:ascii="Calibri" w:hAnsi="Calibri" w:cs="Calibri"/>
        </w:rPr>
      </w:pPr>
      <w:r w:rsidRPr="00A022A5">
        <w:rPr>
          <w:rFonts w:ascii="Calibri" w:hAnsi="Calibri" w:cs="Calibri"/>
        </w:rPr>
        <w:t>Wolff, P., Ríos, S.A., Gonzáles, C., 2023a. Machine Learning Methods for Predicting Adverse Drug Reactions in Hospitalized Patients. Procedia Computer Science, 27th International Conference on Knowledge Based and Intelligent Information and Engineering Sytems (KES 2023) 225, 22–31. https://doi.org/10.1016/j.procs.2023.09.087</w:t>
      </w:r>
    </w:p>
    <w:p w14:paraId="4524398B" w14:textId="77777777" w:rsidR="00A022A5" w:rsidRPr="00A022A5" w:rsidRDefault="00A022A5" w:rsidP="00A022A5">
      <w:pPr>
        <w:pStyle w:val="Bibliography"/>
        <w:rPr>
          <w:rFonts w:ascii="Calibri" w:hAnsi="Calibri" w:cs="Calibri"/>
        </w:rPr>
      </w:pPr>
      <w:r w:rsidRPr="00A022A5">
        <w:rPr>
          <w:rFonts w:ascii="Calibri" w:hAnsi="Calibri" w:cs="Calibri"/>
        </w:rPr>
        <w:t>Wolff, P., Ríos, S.A., Gonzáles, C., 2023b. Machine Learning Methods for Predicting Adverse Drug Reactions in Hospitalized Patients. Procedia Computer Science 225, 22–31. https://doi.org/10.1016/j.procs.2023.09.087</w:t>
      </w:r>
    </w:p>
    <w:p w14:paraId="19C05B8C" w14:textId="77777777" w:rsidR="00A022A5" w:rsidRPr="00A022A5" w:rsidRDefault="00A022A5" w:rsidP="00A022A5">
      <w:pPr>
        <w:pStyle w:val="Bibliography"/>
        <w:rPr>
          <w:rFonts w:ascii="Calibri" w:hAnsi="Calibri" w:cs="Calibri"/>
        </w:rPr>
      </w:pPr>
      <w:r w:rsidRPr="00A022A5">
        <w:rPr>
          <w:rFonts w:ascii="Calibri" w:hAnsi="Calibri" w:cs="Calibri"/>
        </w:rPr>
        <w:t>Wu, Y., Zhao, W., Zhang, L., Wang, Y., Wen, Y., Liu, L., 2025. Machine learning models for predicting chemotherapy-induced adverse drug reactions in colorectal cancer patients. Digestive and Liver Disease 57, 1845–1852. https://doi.org/10.1016/j.dld.2025.06.007</w:t>
      </w:r>
    </w:p>
    <w:p w14:paraId="0384B95E" w14:textId="77777777" w:rsidR="00A022A5" w:rsidRPr="00A022A5" w:rsidRDefault="00A022A5" w:rsidP="00A022A5">
      <w:pPr>
        <w:pStyle w:val="Bibliography"/>
        <w:rPr>
          <w:rFonts w:ascii="Calibri" w:hAnsi="Calibri" w:cs="Calibri"/>
        </w:rPr>
      </w:pPr>
      <w:r w:rsidRPr="00A022A5">
        <w:rPr>
          <w:rFonts w:ascii="Calibri" w:hAnsi="Calibri" w:cs="Calibri"/>
        </w:rPr>
        <w:t>Zazzara, M.B., Palmer, K., Vetrano, D.L., Carfì, A., Onder, G., 2021. Adverse drug reactions in older adults: a narrative review of the literature. Eur Geriatr Med 12, 463–473. https://doi.org/10.1007/s41999-021-00481-9</w:t>
      </w:r>
    </w:p>
    <w:p w14:paraId="15C804C5" w14:textId="77777777" w:rsidR="00A022A5" w:rsidRPr="00A022A5" w:rsidRDefault="00A022A5" w:rsidP="00A022A5">
      <w:pPr>
        <w:pStyle w:val="Bibliography"/>
        <w:rPr>
          <w:rFonts w:ascii="Calibri" w:hAnsi="Calibri" w:cs="Calibri"/>
        </w:rPr>
      </w:pPr>
      <w:r w:rsidRPr="00A022A5">
        <w:rPr>
          <w:rFonts w:ascii="Calibri" w:hAnsi="Calibri" w:cs="Calibri"/>
        </w:rPr>
        <w:t>Zhang, F., Sun, B., Diao, X., Zhao, W., Shu, T., 2021. Prediction of adverse drug reactions based on knowledge graph embedding. BMC Med Inform Decis Mak 21, 38. https://doi.org/10.1186/s12911-021-01402-3</w:t>
      </w:r>
    </w:p>
    <w:p w14:paraId="41D9BEC3" w14:textId="02C5838A" w:rsidR="00E54FE5" w:rsidRDefault="00E54FE5" w:rsidP="00E54FE5">
      <w:pPr>
        <w:spacing w:line="360" w:lineRule="auto"/>
        <w:rPr>
          <w:rFonts w:asciiTheme="majorBidi" w:hAnsiTheme="majorBidi" w:cstheme="majorBidi"/>
        </w:rPr>
      </w:pPr>
      <w:r>
        <w:fldChar w:fldCharType="end"/>
      </w:r>
    </w:p>
    <w:p w14:paraId="182BF588" w14:textId="77777777" w:rsidR="00647A27" w:rsidRDefault="00647A27" w:rsidP="004E1E3D">
      <w:pPr>
        <w:spacing w:line="360" w:lineRule="auto"/>
        <w:rPr>
          <w:rFonts w:asciiTheme="majorBidi" w:hAnsiTheme="majorBidi" w:cstheme="majorBidi"/>
        </w:rPr>
      </w:pPr>
    </w:p>
    <w:p w14:paraId="1A9A793D" w14:textId="77777777" w:rsidR="00647A27" w:rsidRDefault="00647A27" w:rsidP="004E1E3D">
      <w:pPr>
        <w:spacing w:line="360" w:lineRule="auto"/>
        <w:rPr>
          <w:rFonts w:asciiTheme="majorBidi" w:hAnsiTheme="majorBidi" w:cstheme="majorBidi"/>
        </w:rPr>
      </w:pPr>
    </w:p>
    <w:p w14:paraId="7FEEB250" w14:textId="77777777" w:rsidR="001279DD" w:rsidRDefault="001279DD" w:rsidP="004E1E3D">
      <w:pPr>
        <w:spacing w:line="360" w:lineRule="auto"/>
        <w:rPr>
          <w:rFonts w:asciiTheme="majorBidi" w:hAnsiTheme="majorBidi" w:cstheme="majorBidi"/>
        </w:rPr>
      </w:pPr>
    </w:p>
    <w:p w14:paraId="2025A211" w14:textId="77777777" w:rsidR="001A256F" w:rsidRDefault="001A256F" w:rsidP="004E1E3D">
      <w:pPr>
        <w:spacing w:line="360" w:lineRule="auto"/>
        <w:rPr>
          <w:rFonts w:asciiTheme="majorBidi" w:hAnsiTheme="majorBidi" w:cstheme="majorBidi"/>
        </w:rPr>
      </w:pPr>
    </w:p>
    <w:p w14:paraId="17218DFD" w14:textId="77777777" w:rsidR="001A256F" w:rsidRDefault="001A256F" w:rsidP="004E1E3D">
      <w:pPr>
        <w:spacing w:line="360" w:lineRule="auto"/>
        <w:rPr>
          <w:rFonts w:asciiTheme="majorBidi" w:hAnsiTheme="majorBidi" w:cstheme="majorBidi"/>
        </w:rPr>
      </w:pPr>
    </w:p>
    <w:p w14:paraId="08B14914" w14:textId="061401C4" w:rsidR="001E374B" w:rsidRPr="00375102" w:rsidRDefault="004E1E3D" w:rsidP="00375102">
      <w:pPr>
        <w:spacing w:line="360" w:lineRule="auto"/>
        <w:rPr>
          <w:b/>
          <w:bCs/>
        </w:rPr>
      </w:pPr>
      <w:r w:rsidRPr="00647A27">
        <w:rPr>
          <w:b/>
          <w:bCs/>
        </w:rPr>
        <w:t>Appendix</w:t>
      </w:r>
    </w:p>
    <w:p w14:paraId="35C88FAE" w14:textId="3590F43E" w:rsidR="001E374B" w:rsidRPr="00375102" w:rsidRDefault="00375102" w:rsidP="00375102">
      <w:pPr>
        <w:pStyle w:val="Caption"/>
        <w:rPr>
          <w:sz w:val="22"/>
          <w:szCs w:val="22"/>
        </w:rPr>
      </w:pPr>
      <w:bookmarkStart w:id="11" w:name="_Ref219051580"/>
      <w:r w:rsidRPr="00375102">
        <w:rPr>
          <w:sz w:val="22"/>
          <w:szCs w:val="22"/>
        </w:rPr>
        <w:t xml:space="preserve">Appendix </w:t>
      </w:r>
      <w:r w:rsidRPr="00375102">
        <w:rPr>
          <w:sz w:val="22"/>
          <w:szCs w:val="22"/>
        </w:rPr>
        <w:fldChar w:fldCharType="begin"/>
      </w:r>
      <w:r w:rsidRPr="00375102">
        <w:rPr>
          <w:sz w:val="22"/>
          <w:szCs w:val="22"/>
        </w:rPr>
        <w:instrText xml:space="preserve"> SEQ Table \* ARABIC </w:instrText>
      </w:r>
      <w:r w:rsidRPr="00375102">
        <w:rPr>
          <w:sz w:val="22"/>
          <w:szCs w:val="22"/>
        </w:rPr>
        <w:fldChar w:fldCharType="separate"/>
      </w:r>
      <w:r w:rsidRPr="00375102">
        <w:rPr>
          <w:noProof/>
          <w:sz w:val="22"/>
          <w:szCs w:val="22"/>
        </w:rPr>
        <w:t>1</w:t>
      </w:r>
      <w:r w:rsidRPr="00375102">
        <w:rPr>
          <w:sz w:val="22"/>
          <w:szCs w:val="22"/>
        </w:rPr>
        <w:fldChar w:fldCharType="end"/>
      </w:r>
      <w:bookmarkEnd w:id="11"/>
    </w:p>
    <w:p w14:paraId="5A22F587" w14:textId="5464CA08" w:rsidR="00872F79" w:rsidRDefault="00375102" w:rsidP="00872F79">
      <w:pPr>
        <w:rPr>
          <w:rFonts w:asciiTheme="majorBidi" w:hAnsiTheme="majorBidi" w:cstheme="majorBidi"/>
        </w:rPr>
      </w:pPr>
      <w:r>
        <w:rPr>
          <w:rFonts w:asciiTheme="majorBidi" w:hAnsiTheme="majorBidi" w:cstheme="majorBidi"/>
          <w:noProof/>
        </w:rPr>
        <w:drawing>
          <wp:anchor distT="0" distB="0" distL="114300" distR="114300" simplePos="0" relativeHeight="251672576" behindDoc="1" locked="0" layoutInCell="1" allowOverlap="1" wp14:anchorId="0C312BBA" wp14:editId="70FAC3AD">
            <wp:simplePos x="0" y="0"/>
            <wp:positionH relativeFrom="column">
              <wp:posOffset>-84666</wp:posOffset>
            </wp:positionH>
            <wp:positionV relativeFrom="paragraph">
              <wp:posOffset>1100455</wp:posOffset>
            </wp:positionV>
            <wp:extent cx="5125720" cy="993140"/>
            <wp:effectExtent l="0" t="0" r="5080" b="0"/>
            <wp:wrapTight wrapText="bothSides">
              <wp:wrapPolygon edited="0">
                <wp:start x="0" y="0"/>
                <wp:lineTo x="0" y="21269"/>
                <wp:lineTo x="21568" y="21269"/>
                <wp:lineTo x="21568" y="0"/>
                <wp:lineTo x="0" y="0"/>
              </wp:wrapPolygon>
            </wp:wrapTight>
            <wp:docPr id="2108389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935" name="Picture 11"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l="3692" t="13868" b="49152"/>
                    <a:stretch>
                      <a:fillRect/>
                    </a:stretch>
                  </pic:blipFill>
                  <pic:spPr bwMode="auto">
                    <a:xfrm>
                      <a:off x="0" y="0"/>
                      <a:ext cx="5125720" cy="993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4624" behindDoc="1" locked="0" layoutInCell="1" allowOverlap="1" wp14:anchorId="2BFE6A6D" wp14:editId="7F7FBC6C">
                <wp:simplePos x="0" y="0"/>
                <wp:positionH relativeFrom="column">
                  <wp:posOffset>135466</wp:posOffset>
                </wp:positionH>
                <wp:positionV relativeFrom="paragraph">
                  <wp:posOffset>2210011</wp:posOffset>
                </wp:positionV>
                <wp:extent cx="5125720" cy="635"/>
                <wp:effectExtent l="0" t="0" r="5080" b="12065"/>
                <wp:wrapTight wrapText="bothSides">
                  <wp:wrapPolygon edited="0">
                    <wp:start x="0" y="0"/>
                    <wp:lineTo x="0" y="0"/>
                    <wp:lineTo x="21568" y="0"/>
                    <wp:lineTo x="21568" y="0"/>
                    <wp:lineTo x="0" y="0"/>
                  </wp:wrapPolygon>
                </wp:wrapTight>
                <wp:docPr id="1306395749" name="Text Box 1"/>
                <wp:cNvGraphicFramePr/>
                <a:graphic xmlns:a="http://schemas.openxmlformats.org/drawingml/2006/main">
                  <a:graphicData uri="http://schemas.microsoft.com/office/word/2010/wordprocessingShape">
                    <wps:wsp>
                      <wps:cNvSpPr txBox="1"/>
                      <wps:spPr>
                        <a:xfrm>
                          <a:off x="0" y="0"/>
                          <a:ext cx="5125720" cy="635"/>
                        </a:xfrm>
                        <a:prstGeom prst="rect">
                          <a:avLst/>
                        </a:prstGeom>
                        <a:solidFill>
                          <a:prstClr val="white"/>
                        </a:solidFill>
                        <a:ln>
                          <a:noFill/>
                        </a:ln>
                      </wps:spPr>
                      <wps:txbx>
                        <w:txbxContent>
                          <w:p w14:paraId="43CB104E" w14:textId="0D8F8923" w:rsidR="004E1E3D" w:rsidRPr="008A783B" w:rsidRDefault="004E1E3D" w:rsidP="004E1E3D">
                            <w:pPr>
                              <w:pStyle w:val="Caption"/>
                              <w:rPr>
                                <w:rFonts w:asciiTheme="majorBidi" w:hAnsiTheme="majorBidi" w:cstheme="majorBidi"/>
                                <w:noProof/>
                                <w:sz w:val="22"/>
                                <w:szCs w:val="22"/>
                              </w:rPr>
                            </w:pPr>
                            <w:r>
                              <w:t xml:space="preserve">Appendix </w:t>
                            </w:r>
                            <w:r w:rsidR="00375102">
                              <w:t>2</w:t>
                            </w:r>
                            <w:r>
                              <w:t>:Python code used to evaluate classification performance on the independent test set, producing predicted class labels and computing precision, recall, F-1score, class support, and confusion matrices using two functions from scikit-learn library.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E6A6D" id="_x0000_s1031" type="#_x0000_t202" style="position:absolute;margin-left:10.65pt;margin-top:174pt;width:403.6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cCGGQ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s/ni05xcknw3Hx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" stroked="f">
                <v:textbox style="mso-fit-shape-to-text:t" inset="0,0,0,0">
                  <w:txbxContent>
                    <w:p w14:paraId="43CB104E" w14:textId="0D8F8923" w:rsidR="004E1E3D" w:rsidRPr="008A783B" w:rsidRDefault="004E1E3D" w:rsidP="004E1E3D">
                      <w:pPr>
                        <w:pStyle w:val="Caption"/>
                        <w:rPr>
                          <w:rFonts w:asciiTheme="majorBidi" w:hAnsiTheme="majorBidi" w:cstheme="majorBidi"/>
                          <w:noProof/>
                          <w:sz w:val="22"/>
                          <w:szCs w:val="22"/>
                        </w:rPr>
                      </w:pPr>
                      <w:r>
                        <w:t xml:space="preserve">Appendix </w:t>
                      </w:r>
                      <w:r w:rsidR="00375102">
                        <w:t>2</w:t>
                      </w:r>
                      <w:r>
                        <w:t>:Python code used to evaluate classification performance on the independent test set, producing predicted class labels and computing precision, recall, F-1score, class support, and confusion matrices using two functions from scikit-learn library.</w:t>
                      </w:r>
                    </w:p>
                  </w:txbxContent>
                </v:textbox>
                <w10:wrap type="tight"/>
              </v:shape>
            </w:pict>
          </mc:Fallback>
        </mc:AlternateContent>
      </w:r>
      <w:r w:rsidR="00604ABB">
        <w:rPr>
          <w:rFonts w:asciiTheme="majorBidi" w:hAnsiTheme="majorBidi" w:cstheme="majorBidi"/>
        </w:rPr>
        <w:t>Link to python code used to evaluate both machine learning models</w:t>
      </w:r>
      <w:r w:rsidR="001E374B">
        <w:rPr>
          <w:rFonts w:asciiTheme="majorBidi" w:hAnsiTheme="majorBidi" w:cstheme="majorBidi"/>
        </w:rPr>
        <w:t xml:space="preserve"> - </w:t>
      </w:r>
      <w:hyperlink r:id="rId15" w:history="1">
        <w:r w:rsidR="001E374B" w:rsidRPr="001E374B">
          <w:rPr>
            <w:rStyle w:val="Hyperlink"/>
            <w:rFonts w:asciiTheme="majorBidi" w:hAnsiTheme="majorBidi" w:cstheme="majorBidi"/>
          </w:rPr>
          <w:t>Full python code.html</w:t>
        </w:r>
      </w:hyperlink>
    </w:p>
    <w:p w14:paraId="12562DB0" w14:textId="77777777" w:rsidR="00375102" w:rsidRDefault="00375102" w:rsidP="00375102">
      <w:pPr>
        <w:rPr>
          <w:rFonts w:asciiTheme="majorBidi" w:hAnsiTheme="majorBidi" w:cstheme="majorBidi"/>
        </w:rPr>
      </w:pPr>
    </w:p>
    <w:p w14:paraId="6C4B4E95" w14:textId="755BA8E0" w:rsidR="00375102" w:rsidRPr="00375102" w:rsidRDefault="00375102" w:rsidP="00375102">
      <w:pPr>
        <w:rPr>
          <w:rFonts w:asciiTheme="majorBidi" w:hAnsiTheme="majorBidi" w:cstheme="majorBidi"/>
        </w:rPr>
      </w:pPr>
      <w:r>
        <w:rPr>
          <w:rFonts w:asciiTheme="majorBidi" w:hAnsiTheme="majorBidi" w:cstheme="majorBidi"/>
        </w:rPr>
        <w:t>Appendix 2</w:t>
      </w:r>
    </w:p>
    <w:sectPr w:rsidR="00375102" w:rsidRPr="00375102" w:rsidSect="00710F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C50"/>
    <w:multiLevelType w:val="hybridMultilevel"/>
    <w:tmpl w:val="B02C3E00"/>
    <w:lvl w:ilvl="0" w:tplc="021A0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7629CB"/>
    <w:multiLevelType w:val="multilevel"/>
    <w:tmpl w:val="626636E2"/>
    <w:styleLink w:val="CurrentList1"/>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81113F"/>
    <w:multiLevelType w:val="multilevel"/>
    <w:tmpl w:val="2F8C71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94257F"/>
    <w:multiLevelType w:val="hybridMultilevel"/>
    <w:tmpl w:val="7F345738"/>
    <w:lvl w:ilvl="0" w:tplc="44F27C8C">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002E2B"/>
    <w:multiLevelType w:val="multilevel"/>
    <w:tmpl w:val="DFCE7A2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4F6833"/>
    <w:multiLevelType w:val="multilevel"/>
    <w:tmpl w:val="930CABF4"/>
    <w:lvl w:ilvl="0">
      <w:start w:val="3"/>
      <w:numFmt w:val="decimal"/>
      <w:lvlText w:val="%1."/>
      <w:lvlJc w:val="left"/>
      <w:pPr>
        <w:ind w:left="720" w:hanging="360"/>
      </w:pPr>
      <w:rPr>
        <w:rFonts w:hint="default"/>
      </w:rPr>
    </w:lvl>
    <w:lvl w:ilvl="1">
      <w:start w:val="1"/>
      <w:numFmt w:val="decimal"/>
      <w:isLgl/>
      <w:lvlText w:val="%1.%2."/>
      <w:lvlJc w:val="left"/>
      <w:pPr>
        <w:ind w:left="740" w:hanging="380"/>
      </w:pPr>
      <w:rPr>
        <w:rFonts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2160" w:hanging="1800"/>
      </w:pPr>
      <w:rPr>
        <w:rFonts w:hint="default"/>
        <w:sz w:val="22"/>
      </w:rPr>
    </w:lvl>
  </w:abstractNum>
  <w:abstractNum w:abstractNumId="6" w15:restartNumberingAfterBreak="0">
    <w:nsid w:val="57E64BB3"/>
    <w:multiLevelType w:val="multilevel"/>
    <w:tmpl w:val="41641E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2081813"/>
    <w:multiLevelType w:val="multilevel"/>
    <w:tmpl w:val="DA78BF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87805A8"/>
    <w:multiLevelType w:val="multilevel"/>
    <w:tmpl w:val="A448C9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91660263">
    <w:abstractNumId w:val="4"/>
  </w:num>
  <w:num w:numId="2" w16cid:durableId="1250693738">
    <w:abstractNumId w:val="3"/>
  </w:num>
  <w:num w:numId="3" w16cid:durableId="86849419">
    <w:abstractNumId w:val="8"/>
  </w:num>
  <w:num w:numId="4" w16cid:durableId="251663197">
    <w:abstractNumId w:val="6"/>
  </w:num>
  <w:num w:numId="5" w16cid:durableId="1725638302">
    <w:abstractNumId w:val="5"/>
  </w:num>
  <w:num w:numId="6" w16cid:durableId="1244293457">
    <w:abstractNumId w:val="2"/>
  </w:num>
  <w:num w:numId="7" w16cid:durableId="1116215460">
    <w:abstractNumId w:val="0"/>
  </w:num>
  <w:num w:numId="8" w16cid:durableId="152334361">
    <w:abstractNumId w:val="7"/>
  </w:num>
  <w:num w:numId="9" w16cid:durableId="160196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14"/>
    <w:rsid w:val="000230D9"/>
    <w:rsid w:val="00024162"/>
    <w:rsid w:val="00061A24"/>
    <w:rsid w:val="00080346"/>
    <w:rsid w:val="000C78E8"/>
    <w:rsid w:val="000D1291"/>
    <w:rsid w:val="001279DD"/>
    <w:rsid w:val="001A256F"/>
    <w:rsid w:val="001E374B"/>
    <w:rsid w:val="00281C98"/>
    <w:rsid w:val="002A7144"/>
    <w:rsid w:val="002F5785"/>
    <w:rsid w:val="003045E5"/>
    <w:rsid w:val="0031421F"/>
    <w:rsid w:val="00375102"/>
    <w:rsid w:val="0040762A"/>
    <w:rsid w:val="00465D0A"/>
    <w:rsid w:val="004E1E3D"/>
    <w:rsid w:val="004F4200"/>
    <w:rsid w:val="00511D53"/>
    <w:rsid w:val="005224A4"/>
    <w:rsid w:val="00545609"/>
    <w:rsid w:val="006034AD"/>
    <w:rsid w:val="00604ABB"/>
    <w:rsid w:val="00647A27"/>
    <w:rsid w:val="00683E2D"/>
    <w:rsid w:val="006F7614"/>
    <w:rsid w:val="00710F45"/>
    <w:rsid w:val="007537B7"/>
    <w:rsid w:val="007C2CB2"/>
    <w:rsid w:val="00824B2C"/>
    <w:rsid w:val="00846E30"/>
    <w:rsid w:val="00872F79"/>
    <w:rsid w:val="00884449"/>
    <w:rsid w:val="008E3462"/>
    <w:rsid w:val="009073DA"/>
    <w:rsid w:val="00955B7E"/>
    <w:rsid w:val="0099536C"/>
    <w:rsid w:val="009B008B"/>
    <w:rsid w:val="009F07F9"/>
    <w:rsid w:val="00A022A5"/>
    <w:rsid w:val="00A163C3"/>
    <w:rsid w:val="00A4031A"/>
    <w:rsid w:val="00AF0CB3"/>
    <w:rsid w:val="00B95604"/>
    <w:rsid w:val="00BB7043"/>
    <w:rsid w:val="00BF0368"/>
    <w:rsid w:val="00BF2D59"/>
    <w:rsid w:val="00C8026D"/>
    <w:rsid w:val="00CB0610"/>
    <w:rsid w:val="00CC3844"/>
    <w:rsid w:val="00D110E9"/>
    <w:rsid w:val="00D17B44"/>
    <w:rsid w:val="00D3189E"/>
    <w:rsid w:val="00D43DAB"/>
    <w:rsid w:val="00E43593"/>
    <w:rsid w:val="00E54FE5"/>
    <w:rsid w:val="00E63691"/>
    <w:rsid w:val="00EE6037"/>
    <w:rsid w:val="00F006F1"/>
    <w:rsid w:val="00F06837"/>
    <w:rsid w:val="00F76DF9"/>
    <w:rsid w:val="00F833A8"/>
    <w:rsid w:val="00FA74C9"/>
    <w:rsid w:val="00FC7DDE"/>
    <w:rsid w:val="00FE3FF8"/>
    <w:rsid w:val="00FE44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34FA"/>
  <w15:chartTrackingRefBased/>
  <w15:docId w15:val="{51C5AE8E-05CB-4848-86AA-A7382C56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614"/>
    <w:pPr>
      <w:spacing w:after="160" w:line="259" w:lineRule="auto"/>
    </w:pPr>
    <w:rPr>
      <w:sz w:val="22"/>
      <w:szCs w:val="22"/>
      <w:lang w:val="en-GB"/>
    </w:rPr>
  </w:style>
  <w:style w:type="paragraph" w:styleId="Heading1">
    <w:name w:val="heading 1"/>
    <w:basedOn w:val="Normal"/>
    <w:next w:val="Normal"/>
    <w:link w:val="Heading1Char"/>
    <w:uiPriority w:val="9"/>
    <w:qFormat/>
    <w:rsid w:val="006F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6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6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6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6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61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F761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F761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F761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F761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F761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761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761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761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76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61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61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7614"/>
    <w:pPr>
      <w:spacing w:before="160"/>
      <w:jc w:val="center"/>
    </w:pPr>
    <w:rPr>
      <w:i/>
      <w:iCs/>
      <w:color w:val="404040" w:themeColor="text1" w:themeTint="BF"/>
    </w:rPr>
  </w:style>
  <w:style w:type="character" w:customStyle="1" w:styleId="QuoteChar">
    <w:name w:val="Quote Char"/>
    <w:basedOn w:val="DefaultParagraphFont"/>
    <w:link w:val="Quote"/>
    <w:uiPriority w:val="29"/>
    <w:rsid w:val="006F7614"/>
    <w:rPr>
      <w:i/>
      <w:iCs/>
      <w:color w:val="404040" w:themeColor="text1" w:themeTint="BF"/>
      <w:lang w:val="en-GB"/>
    </w:rPr>
  </w:style>
  <w:style w:type="paragraph" w:styleId="ListParagraph">
    <w:name w:val="List Paragraph"/>
    <w:basedOn w:val="Normal"/>
    <w:uiPriority w:val="34"/>
    <w:qFormat/>
    <w:rsid w:val="006F7614"/>
    <w:pPr>
      <w:ind w:left="720"/>
      <w:contextualSpacing/>
    </w:pPr>
  </w:style>
  <w:style w:type="character" w:styleId="IntenseEmphasis">
    <w:name w:val="Intense Emphasis"/>
    <w:basedOn w:val="DefaultParagraphFont"/>
    <w:uiPriority w:val="21"/>
    <w:qFormat/>
    <w:rsid w:val="006F7614"/>
    <w:rPr>
      <w:i/>
      <w:iCs/>
      <w:color w:val="0F4761" w:themeColor="accent1" w:themeShade="BF"/>
    </w:rPr>
  </w:style>
  <w:style w:type="paragraph" w:styleId="IntenseQuote">
    <w:name w:val="Intense Quote"/>
    <w:basedOn w:val="Normal"/>
    <w:next w:val="Normal"/>
    <w:link w:val="IntenseQuoteChar"/>
    <w:uiPriority w:val="30"/>
    <w:qFormat/>
    <w:rsid w:val="006F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614"/>
    <w:rPr>
      <w:i/>
      <w:iCs/>
      <w:color w:val="0F4761" w:themeColor="accent1" w:themeShade="BF"/>
      <w:lang w:val="en-GB"/>
    </w:rPr>
  </w:style>
  <w:style w:type="character" w:styleId="IntenseReference">
    <w:name w:val="Intense Reference"/>
    <w:basedOn w:val="DefaultParagraphFont"/>
    <w:uiPriority w:val="32"/>
    <w:qFormat/>
    <w:rsid w:val="006F7614"/>
    <w:rPr>
      <w:b/>
      <w:bCs/>
      <w:smallCaps/>
      <w:color w:val="0F4761" w:themeColor="accent1" w:themeShade="BF"/>
      <w:spacing w:val="5"/>
    </w:rPr>
  </w:style>
  <w:style w:type="table" w:styleId="TableGrid">
    <w:name w:val="Table Grid"/>
    <w:basedOn w:val="TableNormal"/>
    <w:uiPriority w:val="39"/>
    <w:rsid w:val="006F7614"/>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F7614"/>
    <w:pPr>
      <w:spacing w:after="200" w:line="240" w:lineRule="auto"/>
    </w:pPr>
    <w:rPr>
      <w:i/>
      <w:iCs/>
      <w:color w:val="0E2841" w:themeColor="text2"/>
      <w:sz w:val="18"/>
      <w:szCs w:val="18"/>
    </w:rPr>
  </w:style>
  <w:style w:type="paragraph" w:styleId="NormalWeb">
    <w:name w:val="Normal (Web)"/>
    <w:basedOn w:val="Normal"/>
    <w:uiPriority w:val="99"/>
    <w:unhideWhenUsed/>
    <w:rsid w:val="006F761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Bibliography">
    <w:name w:val="Bibliography"/>
    <w:basedOn w:val="Normal"/>
    <w:next w:val="Normal"/>
    <w:uiPriority w:val="37"/>
    <w:unhideWhenUsed/>
    <w:rsid w:val="00E54FE5"/>
    <w:pPr>
      <w:spacing w:after="0" w:line="240" w:lineRule="auto"/>
      <w:ind w:left="720" w:hanging="720"/>
    </w:pPr>
  </w:style>
  <w:style w:type="numbering" w:customStyle="1" w:styleId="CurrentList1">
    <w:name w:val="Current List1"/>
    <w:uiPriority w:val="99"/>
    <w:rsid w:val="00872F79"/>
    <w:pPr>
      <w:numPr>
        <w:numId w:val="9"/>
      </w:numPr>
    </w:pPr>
  </w:style>
  <w:style w:type="character" w:styleId="Hyperlink">
    <w:name w:val="Hyperlink"/>
    <w:basedOn w:val="DefaultParagraphFont"/>
    <w:uiPriority w:val="99"/>
    <w:unhideWhenUsed/>
    <w:rsid w:val="00872F79"/>
    <w:rPr>
      <w:color w:val="467886" w:themeColor="hyperlink"/>
      <w:u w:val="single"/>
    </w:rPr>
  </w:style>
  <w:style w:type="character" w:styleId="UnresolvedMention">
    <w:name w:val="Unresolved Mention"/>
    <w:basedOn w:val="DefaultParagraphFont"/>
    <w:uiPriority w:val="99"/>
    <w:semiHidden/>
    <w:unhideWhenUsed/>
    <w:rsid w:val="00872F79"/>
    <w:rPr>
      <w:color w:val="605E5C"/>
      <w:shd w:val="clear" w:color="auto" w:fill="E1DFDD"/>
    </w:rPr>
  </w:style>
  <w:style w:type="character" w:styleId="FollowedHyperlink">
    <w:name w:val="FollowedHyperlink"/>
    <w:basedOn w:val="DefaultParagraphFont"/>
    <w:uiPriority w:val="99"/>
    <w:semiHidden/>
    <w:unhideWhenUsed/>
    <w:rsid w:val="00872F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file:///C:\Users\Trevo\Downloads\Full%20python%20code.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15D27-F0D9-3749-8893-0B3994B6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27</Pages>
  <Words>25118</Words>
  <Characters>143175</Characters>
  <Application>Microsoft Office Word</Application>
  <DocSecurity>0</DocSecurity>
  <Lines>1193</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Ebbin</dc:creator>
  <cp:keywords/>
  <dc:description/>
  <cp:lastModifiedBy>Trevor Mukuve</cp:lastModifiedBy>
  <cp:revision>9</cp:revision>
  <dcterms:created xsi:type="dcterms:W3CDTF">2026-01-11T19:23:00Z</dcterms:created>
  <dcterms:modified xsi:type="dcterms:W3CDTF">2026-01-11T20:57:00Z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id="EtHRhwhX"/&gt;&lt;style id="http://www.zotero.org/styles/elsevier-harvard" hasBibliography="1" bibliographyStyleHasBeenSet="1"/&gt;&lt;prefs&gt;&lt;pref name="fieldType" value="Field"/&gt;&lt;/prefs&gt;&lt;/data&gt;</vt:lpwstr>
  </property>
</Properties>
</file>