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1969B">
      <w:pPr>
        <w:wordWrap w:val="0"/>
        <w:ind w:right="210"/>
        <w:jc w:val="right"/>
        <w:rPr>
          <w:rFonts w:ascii="楷体" w:eastAsia="楷体"/>
          <w:b/>
          <w:sz w:val="32"/>
        </w:rPr>
      </w:pPr>
      <w:bookmarkStart w:id="0" w:name="_GoBack"/>
      <w:bookmarkEnd w:id="0"/>
      <w:r>
        <w:rPr>
          <w:rFonts w:ascii="楷体" w:eastAsia="楷体"/>
          <w:b/>
          <w:sz w:val="32"/>
        </w:rPr>
        <w:tab/>
      </w:r>
      <w:r>
        <w:rPr>
          <w:rFonts w:ascii="楷体" w:eastAsia="楷体"/>
          <w:b/>
          <w:sz w:val="32"/>
        </w:rPr>
        <w:t xml:space="preserve">     </w:t>
      </w:r>
    </w:p>
    <w:p w14:paraId="7B7BA76D">
      <w:pPr>
        <w:spacing w:line="360" w:lineRule="exact"/>
        <w:ind w:right="210"/>
        <w:rPr>
          <w:rFonts w:eastAsia="华文行楷"/>
          <w:position w:val="18"/>
          <w:sz w:val="52"/>
          <w:szCs w:val="52"/>
        </w:rPr>
      </w:pPr>
      <w:r>
        <w:rPr>
          <w:rFonts w:eastAsia="楷体"/>
          <w:b/>
        </w:rPr>
        <w:drawing>
          <wp:anchor distT="0" distB="0" distL="114300" distR="114300" simplePos="0" relativeHeight="251660288" behindDoc="0" locked="0" layoutInCell="1" allowOverlap="1">
            <wp:simplePos x="0" y="0"/>
            <wp:positionH relativeFrom="column">
              <wp:posOffset>2788920</wp:posOffset>
            </wp:positionH>
            <wp:positionV relativeFrom="paragraph">
              <wp:posOffset>64135</wp:posOffset>
            </wp:positionV>
            <wp:extent cx="2462530" cy="621665"/>
            <wp:effectExtent l="0" t="0" r="4445" b="6985"/>
            <wp:wrapSquare wrapText="bothSides"/>
            <wp:docPr id="3" name="图片 16" descr="毕设logo定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毕设logo定稿"/>
                    <pic:cNvPicPr>
                      <a:picLocks noChangeAspect="1"/>
                    </pic:cNvPicPr>
                  </pic:nvPicPr>
                  <pic:blipFill>
                    <a:blip r:embed="rId7"/>
                    <a:stretch>
                      <a:fillRect/>
                    </a:stretch>
                  </pic:blipFill>
                  <pic:spPr>
                    <a:xfrm>
                      <a:off x="0" y="0"/>
                      <a:ext cx="2462530" cy="621665"/>
                    </a:xfrm>
                    <a:prstGeom prst="rect">
                      <a:avLst/>
                    </a:prstGeom>
                    <a:noFill/>
                    <a:ln>
                      <a:noFill/>
                    </a:ln>
                  </pic:spPr>
                </pic:pic>
              </a:graphicData>
            </a:graphic>
          </wp:anchor>
        </w:drawing>
      </w:r>
      <w:r>
        <w:rPr>
          <w:rFonts w:eastAsia="楷体"/>
          <w:b/>
        </w:rPr>
        <w:tab/>
      </w:r>
    </w:p>
    <w:p w14:paraId="51D2E8D2">
      <w:pPr>
        <w:ind w:right="210" w:firstLine="240" w:firstLineChars="50"/>
        <w:rPr>
          <w:rFonts w:eastAsia="华文行楷"/>
          <w:position w:val="18"/>
          <w:sz w:val="48"/>
          <w:szCs w:val="48"/>
        </w:rPr>
      </w:pPr>
    </w:p>
    <w:p w14:paraId="233AB39B">
      <w:pPr>
        <w:ind w:right="210"/>
        <w:jc w:val="center"/>
        <w:rPr>
          <w:rFonts w:eastAsia="隶书"/>
          <w:position w:val="18"/>
          <w:sz w:val="32"/>
          <w:szCs w:val="32"/>
        </w:rPr>
      </w:pPr>
    </w:p>
    <w:p w14:paraId="1E0909B1">
      <w:pPr>
        <w:ind w:right="210"/>
        <w:jc w:val="center"/>
        <w:rPr>
          <w:rFonts w:eastAsia="隶书"/>
          <w:position w:val="18"/>
          <w:sz w:val="32"/>
          <w:szCs w:val="32"/>
        </w:rPr>
      </w:pPr>
    </w:p>
    <w:p w14:paraId="5BC5909C">
      <w:pPr>
        <w:ind w:right="210"/>
        <w:jc w:val="center"/>
        <w:rPr>
          <w:rFonts w:eastAsia="隶书"/>
          <w:position w:val="18"/>
          <w:sz w:val="32"/>
          <w:szCs w:val="32"/>
        </w:rPr>
      </w:pPr>
    </w:p>
    <w:p w14:paraId="6E6A4CA6">
      <w:pPr>
        <w:ind w:right="210"/>
        <w:rPr>
          <w:rFonts w:ascii="隶书" w:eastAsia="隶书"/>
          <w:b/>
          <w:sz w:val="84"/>
          <w:szCs w:val="84"/>
        </w:rPr>
      </w:pPr>
      <w:r>
        <w:rPr>
          <w:rFonts w:hint="eastAsia" w:ascii="隶书" w:eastAsia="隶书"/>
          <w:position w:val="18"/>
          <w:sz w:val="84"/>
          <w:szCs w:val="84"/>
        </w:rPr>
        <w:t>毕业论文</w:t>
      </w:r>
      <w:r>
        <w:rPr>
          <w:rFonts w:hint="eastAsia" w:ascii="隶书" w:hAnsi="宋体" w:eastAsia="隶书"/>
          <w:position w:val="18"/>
          <w:sz w:val="84"/>
          <w:szCs w:val="84"/>
        </w:rPr>
        <w:t>（设计）译文</w:t>
      </w:r>
    </w:p>
    <w:p w14:paraId="316D7419">
      <w:pPr>
        <w:tabs>
          <w:tab w:val="left" w:pos="7560"/>
        </w:tabs>
        <w:spacing w:before="600" w:after="120"/>
        <w:ind w:right="210"/>
        <w:rPr>
          <w:rFonts w:hint="eastAsia" w:ascii="黑体" w:hAnsi="黑体" w:eastAsia="黑体"/>
          <w:b/>
          <w:sz w:val="32"/>
          <w:szCs w:val="32"/>
        </w:rPr>
      </w:pPr>
    </w:p>
    <w:p w14:paraId="6D8E5478">
      <w:pPr>
        <w:ind w:left="420" w:leftChars="200" w:right="210" w:firstLine="617" w:firstLineChars="193"/>
        <w:rPr>
          <w:rFonts w:hint="eastAsia" w:ascii="黑体" w:hAnsi="黑体" w:eastAsia="黑体" w:cs="Arial"/>
          <w:sz w:val="32"/>
          <w:szCs w:val="32"/>
        </w:rPr>
      </w:pPr>
      <w:r>
        <w:rPr>
          <w:rFonts w:hint="eastAsia" w:ascii="黑体" w:hAnsi="黑体" w:eastAsia="黑体"/>
          <w:sz w:val="32"/>
          <w:szCs w:val="32"/>
        </w:rPr>
        <w:t>题目名称：</w:t>
      </w:r>
      <w:r>
        <w:rPr>
          <w:rFonts w:ascii="黑体" w:hAnsi="黑体" w:eastAsia="黑体" w:cs="Arial"/>
          <w:sz w:val="32"/>
          <w:szCs w:val="32"/>
        </w:rPr>
        <w:t>重塑面向超智能社会的汽车共享系统：基于数字孪生的方法及实现</w:t>
      </w:r>
    </w:p>
    <w:p w14:paraId="107B19FD">
      <w:pPr>
        <w:ind w:left="420" w:leftChars="200" w:right="210" w:firstLine="617" w:firstLineChars="193"/>
        <w:rPr>
          <w:rFonts w:hint="eastAsia" w:ascii="黑体" w:hAnsi="黑体" w:eastAsia="黑体"/>
          <w:sz w:val="32"/>
          <w:szCs w:val="32"/>
        </w:rPr>
      </w:pPr>
      <w:r>
        <w:rPr>
          <w:rFonts w:hint="eastAsia" w:ascii="黑体" w:hAnsi="黑体" w:eastAsia="黑体"/>
          <w:sz w:val="32"/>
          <w:szCs w:val="32"/>
        </w:rPr>
        <w:t>院系名称：</w:t>
      </w:r>
      <w:r>
        <w:rPr>
          <w:rFonts w:hint="eastAsia" w:ascii="黑体" w:eastAsia="黑体"/>
          <w:sz w:val="32"/>
        </w:rPr>
        <w:t>软件学院</w:t>
      </w:r>
    </w:p>
    <w:p w14:paraId="5DA0AAF7">
      <w:pPr>
        <w:ind w:left="420" w:leftChars="200" w:right="210" w:firstLine="617" w:firstLineChars="193"/>
        <w:rPr>
          <w:rFonts w:hint="eastAsia" w:ascii="黑体" w:hAnsi="黑体" w:eastAsia="黑体"/>
          <w:sz w:val="32"/>
          <w:szCs w:val="32"/>
        </w:rPr>
      </w:pPr>
      <w:r>
        <w:rPr>
          <w:rFonts w:hint="eastAsia" w:ascii="黑体" w:hAnsi="黑体" w:eastAsia="黑体"/>
          <w:sz w:val="32"/>
          <w:szCs w:val="32"/>
        </w:rPr>
        <w:t>专    业：软件工程</w:t>
      </w:r>
    </w:p>
    <w:p w14:paraId="77CBBE70">
      <w:pPr>
        <w:ind w:left="420" w:leftChars="200" w:right="210" w:firstLine="617" w:firstLineChars="193"/>
        <w:rPr>
          <w:rFonts w:hint="eastAsia" w:ascii="黑体" w:hAnsi="黑体" w:eastAsia="黑体"/>
          <w:sz w:val="32"/>
          <w:szCs w:val="32"/>
        </w:rPr>
      </w:pPr>
      <w:r>
        <w:rPr>
          <w:rFonts w:hint="eastAsia" w:ascii="黑体" w:hAnsi="黑体" w:eastAsia="黑体"/>
          <w:sz w:val="32"/>
          <w:szCs w:val="32"/>
        </w:rPr>
        <w:t>班    级：RB软工222</w:t>
      </w:r>
    </w:p>
    <w:p w14:paraId="5E55C06D">
      <w:pPr>
        <w:ind w:left="420" w:leftChars="200" w:right="210" w:firstLine="617" w:firstLineChars="193"/>
        <w:rPr>
          <w:rFonts w:hint="eastAsia" w:ascii="黑体" w:hAnsi="黑体" w:eastAsia="黑体"/>
          <w:sz w:val="32"/>
          <w:szCs w:val="32"/>
        </w:rPr>
      </w:pPr>
      <w:r>
        <w:rPr>
          <w:rFonts w:hint="eastAsia" w:ascii="黑体" w:hAnsi="黑体" w:eastAsia="黑体"/>
          <w:sz w:val="32"/>
          <w:szCs w:val="32"/>
        </w:rPr>
        <w:t>学    号：202220164215</w:t>
      </w:r>
    </w:p>
    <w:p w14:paraId="1AC40B9D">
      <w:pPr>
        <w:ind w:left="420" w:leftChars="200" w:right="210" w:firstLine="617" w:firstLineChars="193"/>
        <w:rPr>
          <w:rFonts w:hint="eastAsia" w:ascii="黑体" w:hAnsi="黑体" w:eastAsia="黑体"/>
          <w:sz w:val="32"/>
          <w:szCs w:val="32"/>
        </w:rPr>
      </w:pPr>
      <w:r>
        <w:rPr>
          <w:rFonts w:hint="eastAsia" w:ascii="黑体" w:hAnsi="黑体" w:eastAsia="黑体"/>
          <w:sz w:val="32"/>
          <w:szCs w:val="32"/>
        </w:rPr>
        <w:t>学生姓名： 张泽圆</w:t>
      </w:r>
    </w:p>
    <w:p w14:paraId="6DFE3CBB">
      <w:pPr>
        <w:ind w:left="420" w:leftChars="200" w:right="210" w:firstLine="617" w:firstLineChars="193"/>
        <w:rPr>
          <w:rFonts w:hint="eastAsia" w:ascii="黑体" w:hAnsi="黑体" w:eastAsia="黑体"/>
          <w:sz w:val="32"/>
          <w:szCs w:val="32"/>
        </w:rPr>
      </w:pPr>
      <w:r>
        <w:rPr>
          <w:rFonts w:hint="eastAsia" w:ascii="黑体" w:hAnsi="黑体" w:eastAsia="黑体"/>
          <w:sz w:val="32"/>
          <w:szCs w:val="32"/>
        </w:rPr>
        <w:t>指导教师： 李勇军</w:t>
      </w:r>
    </w:p>
    <w:p w14:paraId="4D6CC2B3">
      <w:pPr>
        <w:widowControl/>
        <w:overflowPunct w:val="0"/>
        <w:autoSpaceDE w:val="0"/>
        <w:autoSpaceDN w:val="0"/>
        <w:adjustRightInd w:val="0"/>
        <w:ind w:right="210" w:firstLine="1259"/>
        <w:jc w:val="left"/>
        <w:textAlignment w:val="baseline"/>
        <w:rPr>
          <w:rFonts w:eastAsia="仿宋体"/>
        </w:rPr>
      </w:pPr>
    </w:p>
    <w:p w14:paraId="6076351A">
      <w:pPr>
        <w:spacing w:line="360" w:lineRule="exact"/>
        <w:ind w:right="210"/>
        <w:jc w:val="center"/>
        <w:rPr>
          <w:rFonts w:eastAsia="仿宋体"/>
        </w:rPr>
      </w:pPr>
    </w:p>
    <w:p w14:paraId="31E00BC0">
      <w:pPr>
        <w:spacing w:line="360" w:lineRule="exact"/>
        <w:ind w:right="210"/>
        <w:jc w:val="center"/>
        <w:rPr>
          <w:rFonts w:eastAsia="仿宋体"/>
        </w:rPr>
      </w:pPr>
    </w:p>
    <w:p w14:paraId="7B2F8E67">
      <w:pPr>
        <w:spacing w:line="360" w:lineRule="exact"/>
        <w:ind w:right="210"/>
        <w:jc w:val="center"/>
        <w:rPr>
          <w:rFonts w:eastAsia="仿宋体"/>
        </w:rPr>
      </w:pPr>
    </w:p>
    <w:p w14:paraId="6A76F476">
      <w:pPr>
        <w:spacing w:line="360" w:lineRule="exact"/>
        <w:ind w:right="210"/>
        <w:jc w:val="center"/>
        <w:rPr>
          <w:rFonts w:eastAsia="仿宋体"/>
        </w:rPr>
      </w:pPr>
    </w:p>
    <w:p w14:paraId="708D3432">
      <w:pPr>
        <w:autoSpaceDE w:val="0"/>
        <w:autoSpaceDN w:val="0"/>
        <w:adjustRightInd w:val="0"/>
        <w:spacing w:line="360" w:lineRule="auto"/>
        <w:ind w:right="210"/>
        <w:jc w:val="center"/>
        <w:rPr>
          <w:rFonts w:hint="eastAsia" w:ascii="宋体" w:hAnsi="宋体" w:cs="Arial"/>
          <w:b/>
          <w:sz w:val="28"/>
          <w:szCs w:val="28"/>
        </w:rPr>
      </w:pPr>
      <w:r>
        <w:rPr>
          <w:rFonts w:hint="eastAsia"/>
          <w:sz w:val="28"/>
        </w:rPr>
        <w:t>2026</w:t>
      </w:r>
      <w:r>
        <w:rPr>
          <w:sz w:val="28"/>
        </w:rPr>
        <w:t xml:space="preserve"> </w:t>
      </w:r>
      <w:r>
        <w:rPr>
          <w:rFonts w:hint="eastAsia"/>
          <w:sz w:val="28"/>
        </w:rPr>
        <w:t>年</w:t>
      </w:r>
      <w:r>
        <w:rPr>
          <w:sz w:val="28"/>
        </w:rPr>
        <w:t xml:space="preserve"> </w:t>
      </w:r>
      <w:r>
        <w:rPr>
          <w:rFonts w:hint="eastAsia"/>
          <w:sz w:val="28"/>
        </w:rPr>
        <w:t>2</w:t>
      </w:r>
      <w:r>
        <w:rPr>
          <w:sz w:val="28"/>
        </w:rPr>
        <w:t xml:space="preserve"> </w:t>
      </w:r>
      <w:r>
        <w:rPr>
          <w:rFonts w:hint="eastAsia"/>
          <w:sz w:val="28"/>
        </w:rPr>
        <w:t>月</w:t>
      </w:r>
    </w:p>
    <w:p w14:paraId="61D8B832">
      <w:pPr>
        <w:spacing w:line="360" w:lineRule="auto"/>
        <w:ind w:right="210"/>
        <w:rPr>
          <w:rFonts w:hint="eastAsia"/>
        </w:rPr>
        <w:sectPr>
          <w:headerReference r:id="rId3" w:type="default"/>
          <w:pgSz w:w="11906" w:h="16838"/>
          <w:pgMar w:top="1440" w:right="1800" w:bottom="1440" w:left="1800" w:header="851" w:footer="992" w:gutter="0"/>
          <w:cols w:space="425" w:num="1"/>
          <w:titlePg/>
          <w:docGrid w:type="lines" w:linePitch="312" w:charSpace="0"/>
        </w:sectPr>
      </w:pPr>
    </w:p>
    <w:p w14:paraId="4AC65731">
      <w:pPr>
        <w:spacing w:line="360" w:lineRule="auto"/>
        <w:ind w:right="210"/>
      </w:pPr>
      <w:r>
        <w:rPr>
          <w:rFonts w:hint="eastAsia"/>
        </w:rPr>
        <w:t xml:space="preserve"> </w:t>
      </w:r>
      <w:r>
        <w:rPr>
          <w:rFonts w:ascii="黑体" w:hAnsi="黑体" w:eastAsia="黑体" w:cs="Arial"/>
          <w:sz w:val="32"/>
          <w:szCs w:val="32"/>
        </w:rPr>
        <w:t>重塑面向超智能社会的汽车共享系统：基于数字孪生的方法及实现</w:t>
      </w:r>
    </w:p>
    <w:p w14:paraId="1F802F20">
      <w:pPr>
        <w:spacing w:line="360" w:lineRule="auto"/>
        <w:ind w:right="210" w:firstLine="420"/>
        <w:rPr>
          <w:rFonts w:hint="eastAsia" w:ascii="宋体" w:hAnsi="宋体"/>
          <w:sz w:val="24"/>
        </w:rPr>
      </w:pPr>
      <w:r>
        <w:rPr>
          <w:rFonts w:ascii="宋体" w:hAnsi="宋体"/>
          <w:sz w:val="24"/>
        </w:rPr>
        <w:t>摘要——目前的自动驾驶车辆假定采用分布式控制系统，其中感知、决策和控制相互独立于其他车辆。因此，构建一个能够与多辆车协同工作并优化整个系统的配送系统是一项挑战。本研究提出了一种借助数字孪生技术实现的自动驾驶车辆最优配送系统。具体来说，我们将汽车共享系统作为智能出行平台的一个应用案例进行探讨。我们利用</w:t>
      </w:r>
      <w:r>
        <w:rPr>
          <w:sz w:val="24"/>
        </w:rPr>
        <w:t>V2X</w:t>
      </w:r>
      <w:r>
        <w:rPr>
          <w:rFonts w:ascii="宋体" w:hAnsi="宋体"/>
          <w:sz w:val="24"/>
        </w:rPr>
        <w:t>技术实现数字孪生，从而分析并向自动驾驶车辆反馈优化的配送计划，以实现我们的系统。值得注意的是，我们发现使用数字孪生技术进行的模拟和实验之间几乎没有差距。</w:t>
      </w:r>
    </w:p>
    <w:p w14:paraId="721ABD1A">
      <w:pPr>
        <w:spacing w:line="360" w:lineRule="auto"/>
        <w:ind w:right="210" w:firstLine="420"/>
        <w:rPr>
          <w:rFonts w:hint="eastAsia" w:ascii="宋体" w:hAnsi="宋体"/>
          <w:sz w:val="24"/>
        </w:rPr>
      </w:pPr>
      <w:r>
        <w:rPr>
          <w:rFonts w:ascii="宋体" w:hAnsi="宋体"/>
          <w:sz w:val="24"/>
        </w:rPr>
        <w:t>索引词——数字孪生、汽车共享系统、自动驾驶、</w:t>
      </w:r>
      <w:r>
        <w:rPr>
          <w:sz w:val="24"/>
        </w:rPr>
        <w:t>V2X</w:t>
      </w:r>
      <w:r>
        <w:rPr>
          <w:rFonts w:ascii="宋体" w:hAnsi="宋体"/>
          <w:sz w:val="24"/>
        </w:rPr>
        <w:t>、车辆路径问题、概念验证</w:t>
      </w:r>
    </w:p>
    <w:p w14:paraId="3B551BD2">
      <w:pPr>
        <w:spacing w:line="360" w:lineRule="auto"/>
        <w:ind w:right="210" w:firstLine="420"/>
        <w:jc w:val="center"/>
        <w:rPr>
          <w:rFonts w:hint="eastAsia" w:ascii="宋体" w:hAnsi="宋体"/>
          <w:b/>
          <w:bCs/>
          <w:sz w:val="24"/>
        </w:rPr>
      </w:pPr>
      <w:r>
        <w:rPr>
          <w:rFonts w:hint="eastAsia" w:ascii="宋体" w:hAnsi="宋体"/>
          <w:b/>
          <w:bCs/>
          <w:sz w:val="24"/>
        </w:rPr>
        <w:t>一.介绍</w:t>
      </w:r>
    </w:p>
    <w:p w14:paraId="47DBB653">
      <w:pPr>
        <w:spacing w:line="360" w:lineRule="auto"/>
        <w:ind w:right="210" w:firstLine="420"/>
        <w:rPr>
          <w:rFonts w:hint="eastAsia" w:ascii="宋体" w:hAnsi="宋体"/>
          <w:sz w:val="24"/>
        </w:rPr>
      </w:pPr>
      <w:r>
        <w:rPr>
          <w:rFonts w:hint="eastAsia" w:ascii="宋体" w:hAnsi="宋体"/>
          <w:sz w:val="24"/>
        </w:rPr>
        <w:t>近年来，出行服务随着社会和技术的发展而不断演变和转型。尤其值得关注的是，自动驾驶技术因其安全性、提高交通效率以及为未来社会带来的便利性而备受关注。预计自动驾驶将在构建新型出行服务中发挥核心作用。汽车共享是近几十年来兴起的一种出行服务。参考文献[1]指出，一辆共享汽车可以替代共享汽车会员的</w:t>
      </w:r>
      <w:r>
        <w:rPr>
          <w:rFonts w:hint="eastAsia"/>
          <w:sz w:val="24"/>
        </w:rPr>
        <w:t>9</w:t>
      </w:r>
      <w:r>
        <w:rPr>
          <w:rFonts w:hint="eastAsia" w:ascii="宋体" w:hAnsi="宋体"/>
          <w:sz w:val="24"/>
        </w:rPr>
        <w:t>到</w:t>
      </w:r>
      <w:r>
        <w:rPr>
          <w:rFonts w:hint="eastAsia"/>
          <w:sz w:val="24"/>
        </w:rPr>
        <w:t>13</w:t>
      </w:r>
      <w:r>
        <w:rPr>
          <w:rFonts w:hint="eastAsia" w:ascii="宋体" w:hAnsi="宋体"/>
          <w:sz w:val="24"/>
        </w:rPr>
        <w:t>辆汽车。汽车共享系统可以分为两种类型：受限双向型和灵活单向型。传统的双向型系统有一个限制，即用户必须将车辆归还到取车的同一个停车场。单向型系统也分为浮动式和非浮动式[2]。在非浮动式系统中，用户自行在指定的停车场取车和还车。浮动停车系统是一种新型系统，它解决了上述两种方法中对停车位的固定限制。它的优势在于，预定区域内的所有可用停车位都可以用于仓库，允许单向型，消除对特定停车位的偏见。</w:t>
      </w:r>
    </w:p>
    <w:p w14:paraId="2B476DC2">
      <w:pPr>
        <w:spacing w:line="360" w:lineRule="auto"/>
        <w:ind w:right="210" w:firstLine="420"/>
        <w:rPr>
          <w:rFonts w:hint="eastAsia" w:ascii="宋体" w:hAnsi="宋体"/>
          <w:sz w:val="24"/>
        </w:rPr>
      </w:pPr>
      <w:r>
        <w:rPr>
          <w:rFonts w:hint="eastAsia" w:ascii="宋体" w:hAnsi="宋体"/>
          <w:sz w:val="24"/>
        </w:rPr>
        <w:t>自动驾驶技术有望实现浮动系统，但仍存在一些问题需要解决。首先，目前自动驾驶的研究是基于分布式系统，该系统能够独立地控制、感知和做出决策。具体来说，自动驾驶车辆配备了各种传感器（激光雷达、摄像头、雷达等）和车载电脑，用于感知和计算定位、规划、感知和控制。其次，它没有提供一个能够协调和优化多辆车整体配送的系统。</w:t>
      </w:r>
    </w:p>
    <w:p w14:paraId="2A516C9E">
      <w:pPr>
        <w:spacing w:line="360" w:lineRule="auto"/>
        <w:ind w:right="210" w:firstLine="420"/>
        <w:rPr>
          <w:rFonts w:hint="eastAsia" w:ascii="宋体" w:hAnsi="宋体"/>
          <w:sz w:val="24"/>
        </w:rPr>
      </w:pPr>
      <w:r>
        <w:rPr>
          <w:rFonts w:hint="eastAsia" w:ascii="宋体" w:hAnsi="宋体"/>
          <w:sz w:val="24"/>
        </w:rPr>
        <w:t>在网络空间中，与物理世界中的对应物形成孪生关系的数字模型被称为数字孪生。与普通仿真不同，数字孪生具有以下特点：</w:t>
      </w:r>
      <w:r>
        <w:rPr>
          <w:rFonts w:hint="eastAsia"/>
          <w:sz w:val="24"/>
        </w:rPr>
        <w:t>1</w:t>
      </w:r>
      <w:r>
        <w:rPr>
          <w:rFonts w:hint="eastAsia" w:ascii="宋体" w:hAnsi="宋体"/>
          <w:sz w:val="24"/>
        </w:rPr>
        <w:t>）物理空间中的真实数据反映在虚拟空间中；</w:t>
      </w:r>
      <w:r>
        <w:rPr>
          <w:rFonts w:hint="eastAsia"/>
          <w:sz w:val="24"/>
        </w:rPr>
        <w:t>2</w:t>
      </w:r>
      <w:r>
        <w:rPr>
          <w:rFonts w:hint="eastAsia" w:ascii="宋体" w:hAnsi="宋体"/>
          <w:sz w:val="24"/>
        </w:rPr>
        <w:t>）反馈机制将分析结果反馈到物理空间，例如执行器。有人认为，数字孪生技术将在移动领域带来巨大的好处[</w:t>
      </w:r>
      <w:r>
        <w:rPr>
          <w:rFonts w:hint="eastAsia"/>
          <w:sz w:val="24"/>
        </w:rPr>
        <w:t>3</w:t>
      </w:r>
      <w:r>
        <w:rPr>
          <w:rFonts w:hint="eastAsia" w:ascii="宋体" w:hAnsi="宋体"/>
          <w:sz w:val="24"/>
        </w:rPr>
        <w:t>]。例如，为了展示数字孪生在智能交通系统 (</w:t>
      </w:r>
      <w:r>
        <w:rPr>
          <w:sz w:val="24"/>
        </w:rPr>
        <w:t>ITS</w:t>
      </w:r>
      <w:r>
        <w:rPr>
          <w:rFonts w:hint="eastAsia" w:ascii="宋体" w:hAnsi="宋体"/>
          <w:sz w:val="24"/>
        </w:rPr>
        <w:t>) 中的应用，参考文献 [</w:t>
      </w:r>
      <w:r>
        <w:rPr>
          <w:rFonts w:hint="eastAsia"/>
          <w:sz w:val="24"/>
        </w:rPr>
        <w:t>4</w:t>
      </w:r>
      <w:r>
        <w:rPr>
          <w:rFonts w:hint="eastAsia" w:ascii="宋体" w:hAnsi="宋体"/>
          <w:sz w:val="24"/>
        </w:rPr>
        <w:t>] 表明，使用车辆和路侧单元 (</w:t>
      </w:r>
      <w:r>
        <w:rPr>
          <w:rFonts w:hint="eastAsia"/>
          <w:sz w:val="24"/>
        </w:rPr>
        <w:t>RSUs</w:t>
      </w:r>
      <w:r>
        <w:rPr>
          <w:rFonts w:hint="eastAsia" w:ascii="宋体" w:hAnsi="宋体"/>
          <w:sz w:val="24"/>
        </w:rPr>
        <w:t>) 的协同感知结果会实时反映在数字孪生中。</w:t>
      </w:r>
    </w:p>
    <w:p w14:paraId="655376CD">
      <w:pPr>
        <w:spacing w:line="360" w:lineRule="auto"/>
        <w:ind w:right="210" w:firstLine="420"/>
        <w:rPr>
          <w:rFonts w:hint="eastAsia" w:ascii="宋体" w:hAnsi="宋体"/>
          <w:sz w:val="24"/>
        </w:rPr>
      </w:pPr>
      <w:r>
        <w:rPr>
          <w:rFonts w:hint="eastAsia" w:ascii="宋体" w:hAnsi="宋体"/>
          <w:sz w:val="24"/>
        </w:rPr>
        <w:t xml:space="preserve">为了将现实世界的数据聚合到移动数字孪生体中，需要将车辆连接到网络，这可以通过 </w:t>
      </w:r>
      <w:r>
        <w:rPr>
          <w:rFonts w:hint="eastAsia"/>
          <w:sz w:val="24"/>
        </w:rPr>
        <w:t xml:space="preserve">V2X </w:t>
      </w:r>
      <w:r>
        <w:rPr>
          <w:rFonts w:hint="eastAsia" w:ascii="宋体" w:hAnsi="宋体"/>
          <w:sz w:val="24"/>
        </w:rPr>
        <w:t>实现。参考文献 [</w:t>
      </w:r>
      <w:r>
        <w:rPr>
          <w:rFonts w:hint="eastAsia"/>
          <w:sz w:val="24"/>
        </w:rPr>
        <w:t>5</w:t>
      </w:r>
      <w:r>
        <w:rPr>
          <w:rFonts w:hint="eastAsia" w:ascii="宋体" w:hAnsi="宋体"/>
          <w:sz w:val="24"/>
        </w:rPr>
        <w:t xml:space="preserve">] 介绍了 </w:t>
      </w:r>
      <w:r>
        <w:rPr>
          <w:rFonts w:hint="eastAsia"/>
          <w:sz w:val="24"/>
        </w:rPr>
        <w:t>V2X</w:t>
      </w:r>
      <w:r>
        <w:rPr>
          <w:rFonts w:hint="eastAsia" w:ascii="宋体" w:hAnsi="宋体"/>
          <w:sz w:val="24"/>
        </w:rPr>
        <w:t xml:space="preserve"> 的最新技术。虽然最初的车辆间（</w:t>
      </w:r>
      <w:r>
        <w:rPr>
          <w:rFonts w:hint="eastAsia"/>
          <w:sz w:val="24"/>
        </w:rPr>
        <w:t>V2V</w:t>
      </w:r>
      <w:r>
        <w:rPr>
          <w:rFonts w:hint="eastAsia" w:ascii="宋体" w:hAnsi="宋体"/>
          <w:sz w:val="24"/>
        </w:rPr>
        <w:t>）通信是为分布式自动驾驶系统开发的，但参考文献[</w:t>
      </w:r>
      <w:r>
        <w:rPr>
          <w:rFonts w:hint="eastAsia"/>
          <w:sz w:val="24"/>
        </w:rPr>
        <w:t>6</w:t>
      </w:r>
      <w:r>
        <w:rPr>
          <w:rFonts w:hint="eastAsia" w:ascii="宋体" w:hAnsi="宋体"/>
          <w:sz w:val="24"/>
        </w:rPr>
        <w:t>]提出了一种集中式数据处理架构，采用</w:t>
      </w:r>
      <w:r>
        <w:rPr>
          <w:rFonts w:hint="eastAsia"/>
          <w:sz w:val="24"/>
        </w:rPr>
        <w:t>V2X</w:t>
      </w:r>
      <w:r>
        <w:rPr>
          <w:rFonts w:hint="eastAsia" w:ascii="宋体" w:hAnsi="宋体"/>
          <w:sz w:val="24"/>
        </w:rPr>
        <w:t>实现安全自动驾驶。</w:t>
      </w:r>
    </w:p>
    <w:p w14:paraId="2D3A9554">
      <w:pPr>
        <w:spacing w:line="360" w:lineRule="auto"/>
        <w:ind w:right="210" w:firstLine="420"/>
        <w:rPr>
          <w:rFonts w:hint="eastAsia" w:ascii="宋体" w:hAnsi="宋体"/>
          <w:sz w:val="24"/>
        </w:rPr>
      </w:pPr>
      <w:r>
        <w:rPr>
          <w:rFonts w:hint="eastAsia" w:ascii="宋体" w:hAnsi="宋体"/>
          <w:sz w:val="24"/>
        </w:rPr>
        <w:t>为了克服上述挑战，本研究提出了一种利用数字孪生技术实现交付优化系统的架构，该系统仿真与实际系统运行之间的差距较小。此外，我们将实施自动驾驶车辆的汽车共享系统，并进行浮动汽车共享系统的实验，以展示多辆自动驾驶车辆的最佳配送系统。</w:t>
      </w:r>
    </w:p>
    <w:p w14:paraId="38D9A8AC">
      <w:pPr>
        <w:spacing w:line="360" w:lineRule="auto"/>
        <w:ind w:right="210" w:firstLine="420"/>
        <w:rPr>
          <w:rFonts w:hint="eastAsia" w:ascii="宋体" w:hAnsi="宋体"/>
          <w:sz w:val="24"/>
        </w:rPr>
      </w:pPr>
      <w:r>
        <w:rPr>
          <w:rFonts w:hint="eastAsia" w:ascii="宋体" w:hAnsi="宋体"/>
          <w:sz w:val="24"/>
        </w:rPr>
        <w:t>本文余下部分组织如下。第二节介绍了所提出的汽车共享系统架构。第三部分介绍了室内概念验证和评估。第四部分总结了本文。</w:t>
      </w:r>
    </w:p>
    <w:p w14:paraId="48CE1166">
      <w:pPr>
        <w:spacing w:line="360" w:lineRule="auto"/>
        <w:ind w:right="210" w:firstLine="420"/>
        <w:jc w:val="center"/>
        <w:rPr>
          <w:rFonts w:hint="eastAsia" w:ascii="宋体" w:hAnsi="宋体"/>
          <w:b/>
          <w:bCs/>
          <w:sz w:val="24"/>
        </w:rPr>
      </w:pPr>
      <w:r>
        <w:rPr>
          <w:rFonts w:hint="eastAsia" w:ascii="宋体" w:hAnsi="宋体"/>
          <w:b/>
          <w:bCs/>
          <w:sz w:val="24"/>
        </w:rPr>
        <w:t>二、系统设计</w:t>
      </w:r>
    </w:p>
    <w:p w14:paraId="73A17BBE">
      <w:pPr>
        <w:spacing w:line="360" w:lineRule="auto"/>
        <w:ind w:right="210" w:firstLine="420"/>
        <w:rPr>
          <w:rFonts w:hint="eastAsia" w:ascii="宋体" w:hAnsi="宋体"/>
          <w:sz w:val="24"/>
        </w:rPr>
      </w:pPr>
      <w:r>
        <w:rPr>
          <w:rFonts w:hint="eastAsia" w:ascii="宋体" w:hAnsi="宋体"/>
          <w:sz w:val="24"/>
        </w:rPr>
        <w:t>本节将介绍基于数字孪生的自动驾驶汽车共享系统的设计。</w:t>
      </w:r>
    </w:p>
    <w:p w14:paraId="4309DE1A">
      <w:pPr>
        <w:spacing w:line="360" w:lineRule="auto"/>
        <w:ind w:right="210"/>
        <w:rPr>
          <w:rFonts w:hint="eastAsia" w:ascii="宋体" w:hAnsi="宋体"/>
          <w:sz w:val="24"/>
        </w:rPr>
      </w:pPr>
      <w:r>
        <w:rPr>
          <w:rFonts w:hint="eastAsia"/>
          <w:sz w:val="24"/>
        </w:rPr>
        <w:t>A</w:t>
      </w:r>
      <w:r>
        <w:rPr>
          <w:rFonts w:hint="eastAsia" w:ascii="宋体" w:hAnsi="宋体"/>
          <w:sz w:val="24"/>
        </w:rPr>
        <w:t>．系统架构</w:t>
      </w:r>
    </w:p>
    <w:p w14:paraId="2CABFC95">
      <w:pPr>
        <w:spacing w:line="360" w:lineRule="auto"/>
        <w:ind w:right="210" w:firstLine="420"/>
        <w:rPr>
          <w:rFonts w:hint="eastAsia" w:ascii="宋体" w:hAnsi="宋体"/>
          <w:sz w:val="24"/>
        </w:rPr>
      </w:pPr>
      <w:r>
        <w:rPr>
          <w:rFonts w:hint="eastAsia" w:ascii="宋体" w:hAnsi="宋体"/>
          <w:sz w:val="24"/>
        </w:rPr>
        <w:t xml:space="preserve">图 </w:t>
      </w:r>
      <w:r>
        <w:rPr>
          <w:rFonts w:hint="eastAsia"/>
          <w:sz w:val="24"/>
        </w:rPr>
        <w:t>1</w:t>
      </w:r>
      <w:r>
        <w:rPr>
          <w:rFonts w:hint="eastAsia" w:ascii="宋体" w:hAnsi="宋体"/>
          <w:sz w:val="24"/>
        </w:rPr>
        <w:t xml:space="preserve"> 显示了所提出的汽车共享系统的概览。该系统架构具有四个特点：自动驾驶、</w:t>
      </w:r>
      <w:r>
        <w:rPr>
          <w:rFonts w:hint="eastAsia"/>
          <w:sz w:val="24"/>
        </w:rPr>
        <w:t>V2X</w:t>
      </w:r>
      <w:r>
        <w:rPr>
          <w:rFonts w:hint="eastAsia" w:ascii="宋体" w:hAnsi="宋体"/>
          <w:sz w:val="24"/>
        </w:rPr>
        <w:t>、数字孪生和配送优化。首先，自动驾驶技术使用户能够不受停车位位置的限制来使用汽车共享系统。此外，该系统能够重新调整共享汽车的位置，以消除停车场的偏差并防止配送不足。其次，该共享汽车系统利用</w:t>
      </w:r>
      <w:r>
        <w:rPr>
          <w:rFonts w:hint="eastAsia"/>
          <w:sz w:val="24"/>
        </w:rPr>
        <w:t>V2X</w:t>
      </w:r>
      <w:r>
        <w:rPr>
          <w:rFonts w:hint="eastAsia" w:ascii="宋体" w:hAnsi="宋体"/>
          <w:sz w:val="24"/>
        </w:rPr>
        <w:t>（特别是</w:t>
      </w:r>
      <w:r>
        <w:rPr>
          <w:rFonts w:hint="eastAsia"/>
          <w:sz w:val="24"/>
        </w:rPr>
        <w:t>V2N</w:t>
      </w:r>
      <w:r>
        <w:rPr>
          <w:rFonts w:hint="eastAsia" w:ascii="宋体" w:hAnsi="宋体"/>
          <w:sz w:val="24"/>
        </w:rPr>
        <w:t xml:space="preserve">）技术收集从自动驾驶车辆获取的信息。基于 </w:t>
      </w:r>
      <w:r>
        <w:rPr>
          <w:rFonts w:hint="eastAsia"/>
          <w:sz w:val="24"/>
        </w:rPr>
        <w:t>3GPP</w:t>
      </w:r>
      <w:r>
        <w:rPr>
          <w:rFonts w:hint="eastAsia" w:ascii="宋体" w:hAnsi="宋体"/>
          <w:sz w:val="24"/>
        </w:rPr>
        <w:t xml:space="preserve"> [</w:t>
      </w:r>
      <w:r>
        <w:rPr>
          <w:rFonts w:hint="eastAsia"/>
          <w:sz w:val="24"/>
        </w:rPr>
        <w:t>7</w:t>
      </w:r>
      <w:r>
        <w:rPr>
          <w:rFonts w:hint="eastAsia" w:ascii="宋体" w:hAnsi="宋体"/>
          <w:sz w:val="24"/>
        </w:rPr>
        <w:t xml:space="preserve">] 标准化的 </w:t>
      </w:r>
      <w:r>
        <w:rPr>
          <w:rFonts w:hint="eastAsia"/>
          <w:sz w:val="24"/>
        </w:rPr>
        <w:t xml:space="preserve">5G-NRV2X </w:t>
      </w:r>
      <w:r>
        <w:rPr>
          <w:rFonts w:hint="eastAsia" w:ascii="宋体" w:hAnsi="宋体"/>
          <w:sz w:val="24"/>
        </w:rPr>
        <w:t>架构，汽车共享应用和数字孪生技术部署在核心网或互联网上。第三，</w:t>
      </w:r>
      <w:r>
        <w:rPr>
          <w:rFonts w:hint="eastAsia"/>
          <w:sz w:val="24"/>
        </w:rPr>
        <w:t xml:space="preserve">V2X </w:t>
      </w:r>
      <w:r>
        <w:rPr>
          <w:rFonts w:hint="eastAsia" w:ascii="宋体" w:hAnsi="宋体"/>
          <w:sz w:val="24"/>
        </w:rPr>
        <w:t>收集的真实数据将反映在网络空间的数字孪生体上。数字孪生技术能够获取高精度的真实数据，并在网络空间中重现多个自主车辆的运动。最后，通过考虑车辆运动学和动力学，在网络空间孪生中计算出优化的交付计划。并将高度可靠且可行的最优解反馈给自动驾驶车辆。</w:t>
      </w:r>
    </w:p>
    <w:p w14:paraId="6847657B">
      <w:pPr>
        <w:spacing w:line="360" w:lineRule="auto"/>
        <w:ind w:right="210" w:firstLine="420"/>
        <w:rPr>
          <w:rFonts w:hint="eastAsia" w:ascii="宋体" w:hAnsi="宋体"/>
          <w:sz w:val="24"/>
        </w:rPr>
      </w:pPr>
      <w:r>
        <w:rPr>
          <w:rFonts w:hint="eastAsia" w:ascii="宋体" w:hAnsi="宋体"/>
          <w:sz w:val="24"/>
        </w:rPr>
        <w:t xml:space="preserve">接下来，我们将详细介绍系统架构的各个组成部分。图 </w:t>
      </w:r>
      <w:r>
        <w:rPr>
          <w:rFonts w:hint="eastAsia"/>
          <w:sz w:val="24"/>
        </w:rPr>
        <w:t>2</w:t>
      </w:r>
      <w:r>
        <w:rPr>
          <w:rFonts w:hint="eastAsia" w:ascii="宋体" w:hAnsi="宋体"/>
          <w:sz w:val="24"/>
        </w:rPr>
        <w:t xml:space="preserve"> 为所提出的汽车共享系统的框图。请注意，该系统由两个闭环组成，即级联控制。小回路是每个</w:t>
      </w:r>
    </w:p>
    <w:p w14:paraId="35E57D0D">
      <w:pPr>
        <w:spacing w:line="360" w:lineRule="auto"/>
        <w:ind w:right="210" w:firstLine="420"/>
        <w:rPr>
          <w:rFonts w:hint="eastAsia" w:ascii="宋体" w:hAnsi="宋体"/>
          <w:sz w:val="24"/>
        </w:rPr>
      </w:pPr>
      <w:r>
        <w:rPr>
          <w:rFonts w:hint="eastAsia" w:ascii="宋体" w:hAnsi="宋体"/>
          <w:sz w:val="24"/>
        </w:rPr>
        <w:t xml:space="preserve">自动驾驶车辆的反馈控制，负责局部决策。小回路是每个自动驾驶车辆的反馈控制，负责局部决策。这种小型循环反馈是在自动驾驶车辆的车载电脑上执行的。相比之下，主循环负责反映数字孪生体上的信息、优化配送路线规划以及向车辆提供反馈。因此，汽车共享系统负责“全局”决策，并能够为每辆车提供优化的配送行为。一般来说，自动驾驶控制周期为 </w:t>
      </w:r>
      <w:r>
        <w:rPr>
          <w:rFonts w:hint="eastAsia"/>
          <w:sz w:val="24"/>
        </w:rPr>
        <w:t>10</w:t>
      </w:r>
      <w:r>
        <w:rPr>
          <w:rFonts w:hint="eastAsia" w:ascii="宋体" w:hAnsi="宋体"/>
          <w:sz w:val="24"/>
        </w:rPr>
        <w:t xml:space="preserve"> 到 </w:t>
      </w:r>
      <w:r>
        <w:rPr>
          <w:rFonts w:hint="eastAsia"/>
          <w:sz w:val="24"/>
        </w:rPr>
        <w:t xml:space="preserve">100 </w:t>
      </w:r>
      <w:r>
        <w:rPr>
          <w:rFonts w:hint="eastAsia" w:ascii="宋体" w:hAnsi="宋体"/>
          <w:sz w:val="24"/>
        </w:rPr>
        <w:t xml:space="preserve">毫秒，因为激光雷达扫描周围环境大约需要 </w:t>
      </w:r>
      <w:r>
        <w:rPr>
          <w:rFonts w:hint="eastAsia"/>
          <w:sz w:val="24"/>
        </w:rPr>
        <w:t xml:space="preserve">25 </w:t>
      </w:r>
      <w:r>
        <w:rPr>
          <w:rFonts w:hint="eastAsia" w:ascii="宋体" w:hAnsi="宋体"/>
          <w:sz w:val="24"/>
        </w:rPr>
        <w:t xml:space="preserve">到 </w:t>
      </w:r>
      <w:r>
        <w:rPr>
          <w:rFonts w:hint="eastAsia"/>
          <w:sz w:val="24"/>
        </w:rPr>
        <w:t>100</w:t>
      </w:r>
      <w:r>
        <w:rPr>
          <w:rFonts w:hint="eastAsia" w:ascii="宋体" w:hAnsi="宋体"/>
          <w:sz w:val="24"/>
        </w:rPr>
        <w:t xml:space="preserve"> 毫秒。因此，图 2 中合适的次要循环时间为 </w:t>
      </w:r>
      <w:r>
        <w:rPr>
          <w:rFonts w:hint="eastAsia"/>
          <w:sz w:val="24"/>
        </w:rPr>
        <w:t>10</w:t>
      </w:r>
      <w:r>
        <w:rPr>
          <w:rFonts w:hint="eastAsia" w:ascii="宋体" w:hAnsi="宋体"/>
          <w:sz w:val="24"/>
        </w:rPr>
        <w:t xml:space="preserve"> 到</w:t>
      </w:r>
      <w:r>
        <w:rPr>
          <w:rFonts w:hint="eastAsia"/>
          <w:sz w:val="24"/>
        </w:rPr>
        <w:t xml:space="preserve"> 100</w:t>
      </w:r>
      <w:r>
        <w:rPr>
          <w:rFonts w:hint="eastAsia" w:ascii="宋体" w:hAnsi="宋体"/>
          <w:sz w:val="24"/>
        </w:rPr>
        <w:t xml:space="preserve"> 毫秒。另一方面，主循环会受到通信延迟的影响，因此我们将反映数字孪生的合适循环周期设计为大约 </w:t>
      </w:r>
      <w:r>
        <w:rPr>
          <w:rFonts w:hint="eastAsia"/>
          <w:sz w:val="24"/>
        </w:rPr>
        <w:t xml:space="preserve">100 </w:t>
      </w:r>
      <w:r>
        <w:rPr>
          <w:rFonts w:hint="eastAsia" w:ascii="宋体" w:hAnsi="宋体"/>
          <w:sz w:val="24"/>
        </w:rPr>
        <w:t>毫秒。</w:t>
      </w:r>
    </w:p>
    <w:p w14:paraId="36E24F08">
      <w:pPr>
        <w:spacing w:line="360" w:lineRule="auto"/>
        <w:ind w:right="210"/>
        <w:rPr>
          <w:rFonts w:hint="eastAsia" w:ascii="宋体" w:hAnsi="宋体"/>
          <w:sz w:val="24"/>
        </w:rPr>
      </w:pPr>
      <w:r>
        <w:rPr>
          <w:rFonts w:hint="eastAsia"/>
          <w:sz w:val="24"/>
        </w:rPr>
        <w:t>B</w:t>
      </w:r>
      <w:r>
        <w:rPr>
          <w:rFonts w:hint="eastAsia" w:ascii="宋体" w:hAnsi="宋体"/>
          <w:sz w:val="24"/>
        </w:rPr>
        <w:t>. 优化</w:t>
      </w:r>
    </w:p>
    <w:p w14:paraId="6290178E">
      <w:pPr>
        <w:spacing w:line="360" w:lineRule="auto"/>
        <w:ind w:right="210"/>
        <w:rPr>
          <w:rFonts w:hint="eastAsia" w:ascii="宋体" w:hAnsi="宋体"/>
          <w:sz w:val="24"/>
        </w:rPr>
      </w:pPr>
      <w:r>
        <w:rPr>
          <w:rFonts w:ascii="宋体" w:hAnsi="宋体"/>
          <w:sz w:val="24"/>
        </w:rPr>
        <w:tab/>
      </w:r>
      <w:r>
        <w:rPr>
          <w:rFonts w:hint="eastAsia" w:ascii="宋体" w:hAnsi="宋体"/>
          <w:sz w:val="24"/>
        </w:rPr>
        <w:t>由于动态特性和外部因素，实现现实世界的物流优化系统具有挑战性，因此在最近的研究中提出了动态车辆路径问题（</w:t>
      </w:r>
      <w:r>
        <w:rPr>
          <w:rFonts w:hint="eastAsia"/>
          <w:sz w:val="24"/>
        </w:rPr>
        <w:t>DVRP</w:t>
      </w:r>
      <w:r>
        <w:rPr>
          <w:rFonts w:hint="eastAsia" w:ascii="宋体" w:hAnsi="宋体"/>
          <w:sz w:val="24"/>
        </w:rPr>
        <w:t>）[</w:t>
      </w:r>
      <w:r>
        <w:rPr>
          <w:rFonts w:hint="eastAsia"/>
          <w:sz w:val="24"/>
        </w:rPr>
        <w:t>8</w:t>
      </w:r>
      <w:r>
        <w:rPr>
          <w:rFonts w:hint="eastAsia" w:ascii="宋体" w:hAnsi="宋体"/>
          <w:sz w:val="24"/>
        </w:rPr>
        <w:t>]。然而，传统的</w:t>
      </w:r>
      <w:r>
        <w:rPr>
          <w:rFonts w:hint="eastAsia"/>
          <w:sz w:val="24"/>
        </w:rPr>
        <w:t>DVRP</w:t>
      </w:r>
      <w:r>
        <w:rPr>
          <w:rFonts w:hint="eastAsia" w:ascii="宋体" w:hAnsi="宋体"/>
          <w:sz w:val="24"/>
        </w:rPr>
        <w:t>方法并未在物理模型上进行，无法向自动驾驶车辆提供反馈，也未关注系统架构。因此，难以获得高度可靠的配送计划结果。这就导致了仿真与实际系统运行之间存在差距的问题。为了克服这些问题，我们利用数字孪生技术，按顺序反映真实空间的信息，以便将实时变化的真实情况用于优化问题。此外，在数字孪生体上模拟基于运动学的自动驾驶配送仿真，实现了可靠且全局优化的自动驾驶服务。</w:t>
      </w:r>
    </w:p>
    <w:p w14:paraId="135AFEE6">
      <w:pPr>
        <w:spacing w:line="360" w:lineRule="auto"/>
        <w:ind w:right="210" w:rightChars="100"/>
        <w:rPr>
          <w:rFonts w:hint="eastAsia" w:ascii="宋体" w:hAnsi="宋体"/>
        </w:rPr>
      </w:pPr>
      <w:r>
        <w:rPr>
          <w:rFonts w:ascii="宋体" w:hAnsi="宋体"/>
          <w:sz w:val="24"/>
        </w:rPr>
        <w:tab/>
      </w:r>
      <w:r>
        <w:rPr>
          <w:rFonts w:hint="eastAsia" w:ascii="宋体" w:hAnsi="宋体"/>
          <w:sz w:val="24"/>
        </w:rPr>
        <w:t>接下来，我们按如下方式设置</w:t>
      </w:r>
      <w:r>
        <w:rPr>
          <w:rFonts w:hint="eastAsia"/>
          <w:sz w:val="24"/>
        </w:rPr>
        <w:t>DVRP</w:t>
      </w:r>
      <w:r>
        <w:rPr>
          <w:rFonts w:hint="eastAsia" w:ascii="宋体" w:hAnsi="宋体"/>
          <w:sz w:val="24"/>
        </w:rPr>
        <w:t xml:space="preserve">。令 </w:t>
      </w:r>
      <m:oMath>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(i)</m:t>
        </m:r>
      </m:oMath>
      <w:r>
        <w:rPr>
          <w:rFonts w:hint="eastAsia" w:ascii="宋体" w:hAnsi="宋体"/>
          <w:sz w:val="24"/>
        </w:rPr>
        <w:t xml:space="preserve"> 为车辆 </w:t>
      </w:r>
      <w:r>
        <w:rPr>
          <w:rFonts w:hint="eastAsia"/>
          <w:sz w:val="24"/>
        </w:rPr>
        <w:t>k</w:t>
      </w:r>
      <w:r>
        <w:rPr>
          <w:rFonts w:hint="eastAsia" w:ascii="宋体" w:hAnsi="宋体"/>
          <w:sz w:val="24"/>
        </w:rPr>
        <w:t>(</w:t>
      </w:r>
      <w:r>
        <w:rPr>
          <w:rFonts w:hint="eastAsia"/>
          <w:sz w:val="24"/>
        </w:rPr>
        <w:t xml:space="preserve">k </w:t>
      </w:r>
      <w:r>
        <w:rPr>
          <w:rFonts w:hint="eastAsia" w:ascii="宋体" w:hAnsi="宋体"/>
          <w:sz w:val="24"/>
        </w:rPr>
        <w:t xml:space="preserve">= </w:t>
      </w:r>
      <w:r>
        <w:rPr>
          <w:rFonts w:hint="eastAsia"/>
          <w:sz w:val="24"/>
        </w:rPr>
        <w:t>1</w:t>
      </w:r>
      <w:r>
        <w:rPr>
          <w:rFonts w:hint="eastAsia" w:ascii="宋体" w:hAnsi="宋体"/>
          <w:sz w:val="24"/>
        </w:rPr>
        <w:t xml:space="preserve">, </w:t>
      </w:r>
      <w:r>
        <w:rPr>
          <w:rFonts w:hint="eastAsia"/>
          <w:sz w:val="24"/>
        </w:rPr>
        <w:t>2</w:t>
      </w:r>
      <w:r>
        <w:rPr>
          <w:rFonts w:hint="eastAsia" w:ascii="宋体" w:hAnsi="宋体"/>
          <w:sz w:val="24"/>
        </w:rPr>
        <w:t>,</w:t>
      </w:r>
      <w:r>
        <w:rPr>
          <w:rFonts w:ascii="宋体" w:hAnsi="宋体"/>
          <w:sz w:val="24"/>
        </w:rPr>
        <w:t>…</w:t>
      </w:r>
      <w:r>
        <w:rPr>
          <w:rFonts w:hint="eastAsia"/>
          <w:sz w:val="24"/>
        </w:rPr>
        <w:t>K</w:t>
      </w:r>
      <w:r>
        <w:rPr>
          <w:rFonts w:hint="eastAsia" w:ascii="宋体" w:hAnsi="宋体"/>
          <w:sz w:val="24"/>
        </w:rPr>
        <w:t xml:space="preserve">) 在时间 </w:t>
      </w:r>
      <w:r>
        <w:rPr>
          <w:rFonts w:hint="eastAsia"/>
          <w:sz w:val="24"/>
        </w:rPr>
        <w:t>i</w:t>
      </w:r>
      <w:r>
        <w:rPr>
          <w:rFonts w:hint="eastAsia" w:ascii="宋体" w:hAnsi="宋体"/>
          <w:sz w:val="24"/>
        </w:rPr>
        <w:t>(</w:t>
      </w:r>
      <w:r>
        <w:rPr>
          <w:rFonts w:hint="eastAsia"/>
          <w:sz w:val="24"/>
        </w:rPr>
        <w:t>i</w:t>
      </w:r>
      <w:r>
        <w:rPr>
          <w:rFonts w:hint="eastAsia" w:ascii="宋体" w:hAnsi="宋体"/>
          <w:sz w:val="24"/>
        </w:rPr>
        <w:t xml:space="preserve"> = </w:t>
      </w:r>
      <w:r>
        <w:rPr>
          <w:rFonts w:hint="eastAsia"/>
          <w:sz w:val="24"/>
        </w:rPr>
        <w:t>0</w:t>
      </w:r>
      <w:r>
        <w:rPr>
          <w:rFonts w:hint="eastAsia" w:ascii="宋体" w:hAnsi="宋体"/>
          <w:sz w:val="24"/>
        </w:rPr>
        <w:t xml:space="preserve">, </w:t>
      </w:r>
      <w:r>
        <w:rPr>
          <w:rFonts w:hint="eastAsia"/>
          <w:sz w:val="24"/>
        </w:rPr>
        <w:t>1</w:t>
      </w:r>
      <w:r>
        <w:rPr>
          <w:rFonts w:hint="eastAsia" w:ascii="宋体" w:hAnsi="宋体"/>
          <w:sz w:val="24"/>
        </w:rPr>
        <w:t>,</w:t>
      </w:r>
      <w:r>
        <w:rPr>
          <w:rFonts w:ascii="宋体" w:hAnsi="宋体"/>
          <w:sz w:val="24"/>
        </w:rPr>
        <w:t>…</w:t>
      </w:r>
      <w:r>
        <w:rPr>
          <w:rFonts w:hint="eastAsia" w:ascii="宋体" w:hAnsi="宋体"/>
          <w:sz w:val="24"/>
        </w:rPr>
        <w:t xml:space="preserve">) 的配送计划。令 </w:t>
      </w:r>
      <m:oMath>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(i)</m:t>
        </m:r>
      </m:oMath>
      <w:r>
        <w:rPr>
          <w:rFonts w:hint="eastAsia" w:ascii="宋体" w:hAnsi="宋体"/>
          <w:sz w:val="24"/>
        </w:rPr>
        <w:t xml:space="preserve"> = </w:t>
      </w:r>
      <m:oMath>
        <m:sSup>
          <m:sSupPr>
            <m:ctrlPr>
              <w:rPr>
                <w:rFonts w:ascii="Cambria Math" w:hAnsi="Cambria Math"/>
                <w:i/>
                <w:sz w:val="24"/>
              </w:rPr>
            </m:ctrlPr>
          </m:sSupPr>
          <m:e>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(i)</m:t>
            </m:r>
            <m:r>
              <m:rPr>
                <m:sty m:val="p"/>
              </m:rPr>
              <w:rPr>
                <w:rFonts w:hint="eastAsia" w:ascii="Cambria Math" w:hAnsi="Cambria Math"/>
                <w:sz w:val="24"/>
              </w:rPr>
              <m:t xml:space="preserve">, </m:t>
            </m:r>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(i))</m:t>
            </m:r>
            <m:ctrlPr>
              <w:rPr>
                <w:rFonts w:ascii="Cambria Math" w:hAnsi="Cambria Math"/>
                <w:i/>
                <w:sz w:val="24"/>
              </w:rPr>
            </m:ctrlPr>
          </m:e>
          <m:sup>
            <m:r>
              <m:rPr/>
              <w:rPr>
                <w:rFonts w:ascii="Cambria Math" w:hAnsi="Cambria Math"/>
                <w:sz w:val="24"/>
              </w:rPr>
              <m:t>T</m:t>
            </m:r>
            <m:ctrlPr>
              <w:rPr>
                <w:rFonts w:ascii="Cambria Math" w:hAnsi="Cambria Math"/>
                <w:i/>
                <w:sz w:val="24"/>
              </w:rPr>
            </m:ctrlPr>
          </m:sup>
        </m:sSup>
      </m:oMath>
      <w:r>
        <w:rPr>
          <w:rFonts w:hint="eastAsia" w:ascii="宋体" w:hAnsi="宋体"/>
          <w:sz w:val="24"/>
        </w:rPr>
        <w:t xml:space="preserve"> 为</w:t>
      </w:r>
      <w:r>
        <w:rPr>
          <w:rFonts w:hint="eastAsia"/>
          <w:sz w:val="24"/>
        </w:rPr>
        <w:t xml:space="preserve"> i </w:t>
      </w:r>
      <w:r>
        <w:rPr>
          <w:rFonts w:hint="eastAsia" w:ascii="宋体" w:hAnsi="宋体"/>
          <w:sz w:val="24"/>
        </w:rPr>
        <w:t>时刻</w:t>
      </w:r>
      <w:r>
        <w:rPr>
          <w:rFonts w:hint="eastAsia"/>
          <w:sz w:val="24"/>
        </w:rPr>
        <w:t xml:space="preserve"> K </w:t>
      </w:r>
      <w:r>
        <w:rPr>
          <w:rFonts w:hint="eastAsia" w:ascii="宋体" w:hAnsi="宋体"/>
          <w:sz w:val="24"/>
        </w:rPr>
        <w:t xml:space="preserve">辆车的配送路线。设 </w:t>
      </w:r>
      <w:r>
        <w:rPr>
          <w:rFonts w:hint="eastAsia"/>
          <w:sz w:val="24"/>
        </w:rPr>
        <w:t xml:space="preserve">u </w:t>
      </w:r>
      <w:r>
        <w:rPr>
          <w:rFonts w:hint="eastAsia" w:ascii="宋体" w:hAnsi="宋体"/>
          <w:sz w:val="24"/>
        </w:rPr>
        <w:t xml:space="preserve">和 </w:t>
      </w:r>
      <w:r>
        <w:rPr>
          <w:rFonts w:hint="eastAsia"/>
          <w:sz w:val="24"/>
        </w:rPr>
        <w:t xml:space="preserve">v </w:t>
      </w:r>
      <w:r>
        <w:rPr>
          <w:rFonts w:hint="eastAsia" w:ascii="宋体" w:hAnsi="宋体"/>
          <w:sz w:val="24"/>
        </w:rPr>
        <w:t>分别为上车点和下车点，</w:t>
      </w:r>
      <m:oMath>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uv</m:t>
            </m:r>
            <m:ctrlPr>
              <w:rPr>
                <w:rFonts w:ascii="Cambria Math" w:hAnsi="Cambria Math"/>
                <w:i/>
                <w:sz w:val="24"/>
              </w:rPr>
            </m:ctrlPr>
          </m:sub>
        </m:sSub>
      </m:oMath>
      <w:r>
        <w:rPr>
          <w:rFonts w:hint="eastAsia" w:ascii="宋体" w:hAnsi="宋体"/>
          <w:sz w:val="24"/>
        </w:rPr>
        <w:t xml:space="preserve"> 为从 </w:t>
      </w:r>
      <w:r>
        <w:rPr>
          <w:rFonts w:hint="eastAsia"/>
          <w:sz w:val="24"/>
        </w:rPr>
        <w:t xml:space="preserve">u </w:t>
      </w:r>
      <w:r>
        <w:rPr>
          <w:rFonts w:hint="eastAsia" w:ascii="宋体" w:hAnsi="宋体"/>
          <w:sz w:val="24"/>
        </w:rPr>
        <w:t xml:space="preserve">到 </w:t>
      </w:r>
      <w:r>
        <w:rPr>
          <w:rFonts w:hint="eastAsia"/>
          <w:sz w:val="24"/>
        </w:rPr>
        <w:t>v</w:t>
      </w:r>
      <w:r>
        <w:rPr>
          <w:rFonts w:hint="eastAsia" w:ascii="宋体" w:hAnsi="宋体"/>
          <w:sz w:val="24"/>
        </w:rPr>
        <w:t xml:space="preserve"> 的路径。为了明确上下车点与轨迹之间的关系，令顶点集</w:t>
      </w:r>
      <w:r>
        <w:rPr>
          <w:sz w:val="24"/>
        </w:rPr>
        <w:t xml:space="preserve"> V</w:t>
      </w:r>
      <w:r>
        <w:rPr>
          <w:rFonts w:ascii="宋体" w:hAnsi="宋体"/>
          <w:sz w:val="24"/>
        </w:rPr>
        <w:t xml:space="preserve"> </w:t>
      </w:r>
      <w:r>
        <w:rPr>
          <w:rFonts w:hint="eastAsia" w:ascii="宋体" w:hAnsi="宋体"/>
          <w:sz w:val="24"/>
        </w:rPr>
        <w:t>和边集</w:t>
      </w:r>
      <w:r>
        <w:rPr>
          <w:rFonts w:ascii="宋体" w:hAnsi="宋体"/>
          <w:sz w:val="24"/>
        </w:rPr>
        <w:t xml:space="preserve"> </w:t>
      </w:r>
      <w:r>
        <w:rPr>
          <w:sz w:val="24"/>
        </w:rPr>
        <w:t>E</w:t>
      </w:r>
      <w:r>
        <w:rPr>
          <w:rFonts w:ascii="宋体" w:hAnsi="宋体"/>
          <w:sz w:val="24"/>
        </w:rPr>
        <w:t xml:space="preserve"> </w:t>
      </w:r>
      <w:r>
        <w:rPr>
          <w:rFonts w:hint="eastAsia" w:ascii="宋体" w:hAnsi="宋体"/>
          <w:sz w:val="24"/>
        </w:rPr>
        <w:t>表示图</w:t>
      </w:r>
      <w:r>
        <w:rPr>
          <w:rFonts w:ascii="宋体" w:hAnsi="宋体"/>
          <w:sz w:val="24"/>
        </w:rPr>
        <w:t xml:space="preserve"> </w:t>
      </w:r>
      <w:r>
        <w:rPr>
          <w:sz w:val="24"/>
        </w:rPr>
        <w:t>G</w:t>
      </w:r>
      <w:r>
        <w:rPr>
          <w:rFonts w:ascii="宋体" w:hAnsi="宋体"/>
          <w:sz w:val="24"/>
        </w:rPr>
        <w:t xml:space="preserve"> = (</w:t>
      </w:r>
      <w:r>
        <w:rPr>
          <w:sz w:val="24"/>
        </w:rPr>
        <w:t>V</w:t>
      </w:r>
      <w:r>
        <w:rPr>
          <w:rFonts w:ascii="宋体" w:hAnsi="宋体"/>
          <w:sz w:val="24"/>
        </w:rPr>
        <w:t xml:space="preserve">, </w:t>
      </w:r>
      <w:r>
        <w:rPr>
          <w:sz w:val="24"/>
        </w:rPr>
        <w:t>E</w:t>
      </w:r>
      <w:r>
        <w:rPr>
          <w:rFonts w:ascii="宋体" w:hAnsi="宋体"/>
          <w:sz w:val="24"/>
        </w:rPr>
        <w:t>)</w:t>
      </w:r>
      <w:r>
        <w:rPr>
          <w:rFonts w:hint="eastAsia" w:ascii="宋体" w:hAnsi="宋体"/>
          <w:sz w:val="24"/>
        </w:rPr>
        <w:t>，其中</w:t>
      </w:r>
      <w:r>
        <w:rPr>
          <w:rFonts w:ascii="宋体" w:hAnsi="宋体"/>
          <w:sz w:val="24"/>
        </w:rPr>
        <w:t xml:space="preserve"> </w:t>
      </w:r>
      <m:oMath>
        <m:r>
          <m:rPr/>
          <w:rPr>
            <w:rFonts w:ascii="Cambria Math" w:hAnsi="Cambria Math"/>
            <w:sz w:val="24"/>
          </w:rPr>
          <m:t>u,  v ϵ V</m:t>
        </m:r>
      </m:oMath>
      <w:r>
        <w:rPr>
          <w:rFonts w:hint="eastAsia" w:ascii="宋体" w:hAnsi="宋体"/>
          <w:sz w:val="24"/>
        </w:rPr>
        <w:t>，行驶路径</w:t>
      </w:r>
      <m:oMath>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uv</m:t>
            </m:r>
            <m:ctrlPr>
              <w:rPr>
                <w:rFonts w:ascii="Cambria Math" w:hAnsi="Cambria Math"/>
                <w:i/>
                <w:sz w:val="24"/>
              </w:rPr>
            </m:ctrlPr>
          </m:sub>
        </m:sSub>
        <m:r>
          <m:rPr/>
          <w:rPr>
            <w:rFonts w:ascii="Cambria Math" w:hAnsi="Cambria Math"/>
            <w:sz w:val="24"/>
          </w:rPr>
          <m:t>ϵE</m:t>
        </m:r>
      </m:oMath>
      <w:r>
        <w:rPr>
          <w:rFonts w:hint="eastAsia" w:ascii="宋体" w:hAnsi="宋体"/>
          <w:sz w:val="24"/>
        </w:rPr>
        <w:t>。然后，令</w:t>
      </w: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uv</m:t>
            </m:r>
            <m:ctrlPr>
              <w:rPr>
                <w:rFonts w:ascii="Cambria Math" w:hAnsi="Cambria Math"/>
                <w:i/>
                <w:sz w:val="24"/>
              </w:rPr>
            </m:ctrlPr>
          </m:sub>
        </m:sSub>
      </m:oMath>
      <w:r>
        <w:rPr>
          <w:rFonts w:hint="eastAsia" w:ascii="宋体" w:hAnsi="宋体"/>
          <w:sz w:val="24"/>
        </w:rPr>
        <w:t>表示从</w:t>
      </w:r>
      <w:r>
        <w:rPr>
          <w:rFonts w:ascii="宋体" w:hAnsi="宋体"/>
          <w:sz w:val="24"/>
        </w:rPr>
        <w:t xml:space="preserve"> </w:t>
      </w:r>
      <w:r>
        <w:rPr>
          <w:sz w:val="24"/>
        </w:rPr>
        <w:t>u</w:t>
      </w:r>
      <w:r>
        <w:rPr>
          <w:rFonts w:ascii="宋体" w:hAnsi="宋体"/>
          <w:sz w:val="24"/>
        </w:rPr>
        <w:t xml:space="preserve"> </w:t>
      </w:r>
      <w:r>
        <w:rPr>
          <w:rFonts w:hint="eastAsia" w:ascii="宋体" w:hAnsi="宋体"/>
          <w:sz w:val="24"/>
        </w:rPr>
        <w:t>到</w:t>
      </w:r>
      <w:r>
        <w:rPr>
          <w:rFonts w:ascii="宋体" w:hAnsi="宋体"/>
          <w:sz w:val="24"/>
        </w:rPr>
        <w:t xml:space="preserve"> </w:t>
      </w:r>
      <w:r>
        <w:rPr>
          <w:sz w:val="24"/>
        </w:rPr>
        <w:t>v</w:t>
      </w:r>
      <w:r>
        <w:rPr>
          <w:rFonts w:ascii="宋体" w:hAnsi="宋体"/>
          <w:sz w:val="24"/>
        </w:rPr>
        <w:t xml:space="preserve"> </w:t>
      </w:r>
      <w:r>
        <w:rPr>
          <w:rFonts w:hint="eastAsia" w:ascii="宋体" w:hAnsi="宋体"/>
          <w:sz w:val="24"/>
        </w:rPr>
        <w:t>的成本权重。令</w:t>
      </w:r>
      <w:r>
        <w:rPr>
          <w:rFonts w:ascii="宋体" w:hAnsi="宋体"/>
          <w:sz w:val="24"/>
        </w:rPr>
        <w:t xml:space="preserve"> </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uv,k</m:t>
            </m:r>
            <m:ctrlPr>
              <w:rPr>
                <w:rFonts w:ascii="Cambria Math" w:hAnsi="Cambria Math"/>
                <w:i/>
                <w:sz w:val="24"/>
              </w:rPr>
            </m:ctrlPr>
          </m:sub>
        </m:sSub>
        <m:r>
          <m:rPr/>
          <w:rPr>
            <w:rFonts w:ascii="Cambria Math" w:hAnsi="Cambria Math"/>
            <w:sz w:val="24"/>
          </w:rPr>
          <m:t>ϵ{0,1}</m:t>
        </m:r>
      </m:oMath>
      <w:r>
        <w:rPr>
          <w:rFonts w:ascii="宋体" w:hAnsi="宋体"/>
          <w:sz w:val="24"/>
        </w:rPr>
        <w:t xml:space="preserve"> </w:t>
      </w:r>
      <w:r>
        <w:rPr>
          <w:rFonts w:hint="eastAsia" w:ascii="宋体" w:hAnsi="宋体"/>
          <w:sz w:val="24"/>
        </w:rPr>
        <w:t>表示车辆</w:t>
      </w:r>
      <w:r>
        <w:rPr>
          <w:rFonts w:ascii="宋体" w:hAnsi="宋体"/>
          <w:sz w:val="24"/>
        </w:rPr>
        <w:t xml:space="preserve"> </w:t>
      </w:r>
      <w:r>
        <w:rPr>
          <w:sz w:val="24"/>
        </w:rPr>
        <w:t xml:space="preserve">k </w:t>
      </w:r>
      <w:r>
        <w:rPr>
          <w:rFonts w:hint="eastAsia" w:ascii="宋体" w:hAnsi="宋体"/>
          <w:sz w:val="24"/>
        </w:rPr>
        <w:t>是否走</w:t>
      </w:r>
      <w:r>
        <w:rPr>
          <w:rFonts w:ascii="宋体" w:hAnsi="宋体"/>
          <w:sz w:val="24"/>
        </w:rPr>
        <w:t xml:space="preserve"> </w:t>
      </w:r>
      <w:r>
        <w:rPr>
          <w:sz w:val="24"/>
        </w:rPr>
        <w:t>u</w:t>
      </w:r>
      <w:r>
        <w:rPr>
          <w:rFonts w:ascii="宋体" w:hAnsi="宋体"/>
          <w:sz w:val="24"/>
        </w:rPr>
        <w:t xml:space="preserve"> </w:t>
      </w:r>
      <w:r>
        <w:rPr>
          <w:rFonts w:ascii="Cambria Math" w:hAnsi="Cambria Math" w:cs="Cambria Math"/>
          <w:sz w:val="24"/>
        </w:rPr>
        <w:t>⇒</w:t>
      </w:r>
      <w:r>
        <w:rPr>
          <w:rFonts w:ascii="宋体" w:hAnsi="宋体"/>
          <w:sz w:val="24"/>
        </w:rPr>
        <w:t xml:space="preserve"> </w:t>
      </w:r>
      <w:r>
        <w:rPr>
          <w:sz w:val="24"/>
        </w:rPr>
        <w:t>v</w:t>
      </w:r>
      <w:r>
        <w:rPr>
          <w:rFonts w:ascii="宋体" w:hAnsi="宋体"/>
          <w:sz w:val="24"/>
        </w:rPr>
        <w:t xml:space="preserve"> </w:t>
      </w:r>
      <w:r>
        <w:rPr>
          <w:rFonts w:hint="eastAsia" w:ascii="宋体" w:hAnsi="宋体"/>
          <w:sz w:val="24"/>
        </w:rPr>
        <w:t>路径</w:t>
      </w:r>
      <m:oMath>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uv</m:t>
            </m:r>
            <m:ctrlPr>
              <w:rPr>
                <w:rFonts w:ascii="Cambria Math" w:hAnsi="Cambria Math"/>
                <w:i/>
                <w:sz w:val="24"/>
              </w:rPr>
            </m:ctrlPr>
          </m:sub>
        </m:sSub>
      </m:oMath>
      <w:r>
        <w:rPr>
          <w:rFonts w:hint="eastAsia" w:ascii="宋体" w:hAnsi="宋体"/>
          <w:sz w:val="24"/>
        </w:rPr>
        <w:t>的二进制指示变量。此外，定义</w:t>
      </w:r>
      <m:oMath>
        <m:sSub>
          <m:sSubPr>
            <m:ctrlPr>
              <w:rPr>
                <w:rFonts w:ascii="Cambria Math" w:hAnsi="Cambria Math"/>
                <w:i/>
                <w:sz w:val="24"/>
              </w:rPr>
            </m:ctrlPr>
          </m:sSubPr>
          <m:e>
            <m:r>
              <m:rPr/>
              <w:rPr>
                <w:rFonts w:hint="eastAsia" w:ascii="Cambria Math" w:hAnsi="Cambria Math"/>
                <w:sz w:val="24"/>
              </w:rPr>
              <m:t>l</m:t>
            </m:r>
            <m:ctrlPr>
              <w:rPr>
                <w:rFonts w:ascii="Cambria Math" w:hAnsi="Cambria Math"/>
                <w:i/>
                <w:sz w:val="24"/>
              </w:rPr>
            </m:ctrlPr>
          </m:e>
          <m:sub>
            <m:r>
              <m:rPr/>
              <w:rPr>
                <w:rFonts w:ascii="Cambria Math" w:hAnsi="Cambria Math"/>
                <w:sz w:val="24"/>
              </w:rPr>
              <m:t>u,k</m:t>
            </m:r>
            <m:ctrlPr>
              <w:rPr>
                <w:rFonts w:ascii="Cambria Math" w:hAnsi="Cambria Math"/>
                <w:i/>
                <w:sz w:val="24"/>
              </w:rPr>
            </m:ctrlPr>
          </m:sub>
        </m:sSub>
      </m:oMath>
      <w:r>
        <w:rPr>
          <w:rFonts w:hint="eastAsia" w:ascii="宋体" w:hAnsi="宋体"/>
          <w:sz w:val="24"/>
        </w:rPr>
        <w:t>为反映车辆</w:t>
      </w:r>
      <w:r>
        <w:rPr>
          <w:rFonts w:hint="eastAsia"/>
          <w:sz w:val="24"/>
        </w:rPr>
        <w:t xml:space="preserve"> k </w:t>
      </w:r>
      <w:r>
        <w:rPr>
          <w:rFonts w:hint="eastAsia" w:ascii="宋体" w:hAnsi="宋体"/>
          <w:sz w:val="24"/>
        </w:rPr>
        <w:t>的路线与目的地</w:t>
      </w:r>
      <m:oMath>
        <m:r>
          <m:rPr/>
          <w:rPr>
            <w:rFonts w:ascii="Cambria Math" w:hAnsi="Cambria Math"/>
            <w:sz w:val="24"/>
          </w:rPr>
          <m:t>uϵv</m:t>
        </m:r>
      </m:oMath>
      <w:r>
        <w:rPr>
          <w:rFonts w:hint="eastAsia" w:ascii="宋体" w:hAnsi="宋体"/>
          <w:sz w:val="24"/>
        </w:rPr>
        <w:t>之间实时变化的成本的术语，</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u,k</m:t>
            </m:r>
            <m:ctrlPr>
              <w:rPr>
                <w:rFonts w:ascii="Cambria Math" w:hAnsi="Cambria Math"/>
                <w:i/>
                <w:sz w:val="24"/>
              </w:rPr>
            </m:ctrlPr>
          </m:sub>
        </m:sSub>
        <m:r>
          <m:rPr/>
          <w:rPr>
            <w:rFonts w:ascii="Cambria Math" w:hAnsi="Cambria Math"/>
            <w:sz w:val="24"/>
          </w:rPr>
          <m:t>ϵ{0,1}</m:t>
        </m:r>
      </m:oMath>
      <w:r>
        <w:rPr>
          <w:rFonts w:hint="eastAsia" w:ascii="宋体" w:hAnsi="宋体"/>
          <w:sz w:val="24"/>
        </w:rPr>
        <w:t>为是否选择</w:t>
      </w:r>
      <w:r>
        <w:rPr>
          <w:rFonts w:hint="eastAsia"/>
          <w:sz w:val="24"/>
        </w:rPr>
        <w:t>目的地</w:t>
      </w:r>
      <m:oMath>
        <m:r>
          <m:rPr/>
          <w:rPr>
            <w:rFonts w:ascii="Cambria Math" w:hAnsi="Cambria Math"/>
            <w:sz w:val="24"/>
          </w:rPr>
          <m:t>uϵv</m:t>
        </m:r>
      </m:oMath>
      <w:r>
        <w:rPr>
          <w:rFonts w:hint="eastAsia" w:ascii="宋体" w:hAnsi="宋体"/>
          <w:sz w:val="24"/>
        </w:rPr>
        <w:t>的二元指示变量。</w:t>
      </w:r>
      <m:oMath>
        <m:sSub>
          <m:sSubPr>
            <m:ctrlPr>
              <w:rPr>
                <w:rFonts w:ascii="Cambria Math" w:hAnsi="Cambria Math"/>
                <w:i/>
                <w:sz w:val="24"/>
              </w:rPr>
            </m:ctrlPr>
          </m:sSubPr>
          <m:e>
            <m:r>
              <m:rPr/>
              <w:rPr>
                <w:rFonts w:hint="eastAsia" w:ascii="Cambria Math" w:hAnsi="Cambria Math"/>
                <w:sz w:val="24"/>
              </w:rPr>
              <m:t>l</m:t>
            </m:r>
            <m:ctrlPr>
              <w:rPr>
                <w:rFonts w:ascii="Cambria Math" w:hAnsi="Cambria Math"/>
                <w:i/>
                <w:sz w:val="24"/>
              </w:rPr>
            </m:ctrlPr>
          </m:e>
          <m:sub>
            <m:r>
              <m:rPr/>
              <w:rPr>
                <w:rFonts w:ascii="Cambria Math" w:hAnsi="Cambria Math"/>
                <w:sz w:val="24"/>
              </w:rPr>
              <m:t>u,k</m:t>
            </m:r>
            <m:ctrlPr>
              <w:rPr>
                <w:rFonts w:ascii="Cambria Math" w:hAnsi="Cambria Math"/>
                <w:i/>
                <w:sz w:val="24"/>
              </w:rPr>
            </m:ctrlPr>
          </m:sub>
        </m:sSub>
      </m:oMath>
      <w:r>
        <w:rPr>
          <w:rFonts w:hint="eastAsia" w:ascii="宋体" w:hAnsi="宋体"/>
          <w:sz w:val="24"/>
        </w:rPr>
        <w:t>是共享汽车当前位置到第一个目的地的距离。本文</w:t>
      </w:r>
      <w:r>
        <w:rPr>
          <w:rFonts w:hint="eastAsia"/>
          <w:sz w:val="24"/>
        </w:rPr>
        <w:t>中</w:t>
      </w:r>
      <w:r>
        <w:rPr>
          <w:rFonts w:hint="eastAsia" w:ascii="宋体" w:hAnsi="宋体"/>
          <w:sz w:val="24"/>
        </w:rPr>
        <w:t>，为了简化优化计算，在不考虑道路结构的情况下，使用欧氏距离计算了成本权重</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uv</m:t>
            </m:r>
            <m:ctrlPr>
              <w:rPr>
                <w:rFonts w:ascii="Cambria Math" w:hAnsi="Cambria Math"/>
                <w:sz w:val="24"/>
              </w:rPr>
            </m:ctrlPr>
          </m:sub>
        </m:sSub>
      </m:oMath>
      <w:r>
        <w:rPr>
          <w:rFonts w:hint="eastAsia" w:ascii="宋体" w:hAnsi="宋体"/>
          <w:sz w:val="24"/>
        </w:rPr>
        <w:t xml:space="preserve">。此外，本文未考虑交通流量和拥堵造成的延误影响。因此，在时刻 </w:t>
      </w:r>
      <w:r>
        <w:rPr>
          <w:rFonts w:hint="eastAsia"/>
          <w:sz w:val="24"/>
        </w:rPr>
        <w:t xml:space="preserve">i </w:t>
      </w:r>
      <w:r>
        <w:rPr>
          <w:rFonts w:hint="eastAsia" w:ascii="宋体" w:hAnsi="宋体"/>
          <w:sz w:val="24"/>
        </w:rPr>
        <w:t>进行新预订时的优化问题如下</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i/>
                  </w:rPr>
                </m:ctrlPr>
              </m:e>
              <m:lim>
                <m:r>
                  <m:rPr/>
                  <w:rPr>
                    <w:rFonts w:ascii="Cambria Math" w:hAnsi="Cambria Math"/>
                  </w:rPr>
                  <m:t>r(i)</m:t>
                </m:r>
                <m:ctrlPr>
                  <w:rPr>
                    <w:rFonts w:ascii="Cambria Math" w:hAnsi="Cambria Math"/>
                    <w:i/>
                  </w:rPr>
                </m:ctrlPr>
              </m:lim>
            </m:limLow>
            <m:ctrlPr>
              <w:rPr>
                <w:rFonts w:ascii="Cambria Math" w:hAnsi="Cambria Math"/>
                <w:i/>
              </w:rPr>
            </m:ctrlPr>
          </m:fName>
          <m:e>
            <m:nary>
              <m:naryPr>
                <m:chr m:val="∑"/>
                <m:limLoc m:val="undOvr"/>
                <m:ctrlPr>
                  <w:rPr>
                    <w:rFonts w:ascii="Cambria Math" w:hAnsi="Cambria Math"/>
                    <w:i/>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nary>
                  <m:naryPr>
                    <m:chr m:val="∑"/>
                    <m:limLoc m:val="undOvr"/>
                    <m:supHide m:val="1"/>
                    <m:ctrlPr>
                      <w:rPr>
                        <w:rFonts w:ascii="Cambria Math" w:hAnsi="Cambria Math"/>
                        <w:i/>
                      </w:rPr>
                    </m:ctrlPr>
                  </m:naryPr>
                  <m:sub>
                    <m:r>
                      <m:rPr/>
                      <w:rPr>
                        <w:rFonts w:ascii="Cambria Math" w:hAnsi="Cambria Math"/>
                      </w:rPr>
                      <m:t>u,v∈</m:t>
                    </m:r>
                    <m:r>
                      <m:rPr/>
                      <w:rPr>
                        <w:rFonts w:hint="eastAsia" w:ascii="Cambria Math" w:hAnsi="Cambria Math"/>
                      </w:rPr>
                      <m:t>V</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m:t>
                        </m:r>
                        <m:r>
                          <m:rPr/>
                          <w:rPr>
                            <w:rFonts w:hint="eastAsia" w:ascii="Cambria Math" w:hAnsi="Cambria Math"/>
                          </w:rPr>
                          <m:t>w</m:t>
                        </m:r>
                        <m:ctrlPr>
                          <w:rPr>
                            <w:rFonts w:ascii="Cambria Math" w:hAnsi="Cambria Math"/>
                            <w:i/>
                          </w:rPr>
                        </m:ctrlPr>
                      </m:e>
                      <m:sub>
                        <m:r>
                          <m:rPr/>
                          <w:rPr>
                            <w:rFonts w:ascii="Cambria Math" w:hAnsi="Cambria Math"/>
                          </w:rPr>
                          <m:t>uv</m:t>
                        </m:r>
                        <m:ctrlPr>
                          <w:rPr>
                            <w:rFonts w:ascii="Cambria Math" w:hAnsi="Cambria Math"/>
                            <w:i/>
                          </w:rPr>
                        </m:ctrlPr>
                      </m:sub>
                    </m:sSub>
                    <m:ctrlPr>
                      <w:rPr>
                        <w:rFonts w:ascii="Cambria Math" w:hAnsi="Cambria Math"/>
                        <w:i/>
                      </w:rPr>
                    </m:ctrlPr>
                  </m:e>
                </m:nary>
                <m:ctrlPr>
                  <w:rPr>
                    <w:rFonts w:ascii="Cambria Math" w:hAnsi="Cambria Math"/>
                    <w:i/>
                  </w:rPr>
                </m:ctrlPr>
              </m:e>
            </m:nary>
            <m:ctrlPr>
              <w:rPr>
                <w:rFonts w:ascii="Cambria Math" w:hAnsi="Cambria Math"/>
                <w:i/>
              </w:rPr>
            </m:ctrlPr>
          </m:e>
        </m:func>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uv,k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u,k</m:t>
            </m:r>
            <m:ctrlPr>
              <w:rPr>
                <w:rFonts w:ascii="Cambria Math" w:hAnsi="Cambria Math"/>
                <w:i/>
              </w:rPr>
            </m:ctrlPr>
          </m:sub>
        </m:sSub>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u,k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uv,k</m:t>
            </m:r>
            <m:ctrlPr>
              <w:rPr>
                <w:rFonts w:ascii="Cambria Math" w:hAnsi="Cambria Math"/>
                <w:i/>
              </w:rPr>
            </m:ctrlPr>
          </m:sub>
        </m:sSub>
        <m:r>
          <m:rPr/>
          <w:rPr>
            <w:rFonts w:ascii="Cambria Math" w:hAnsi="Cambria Math"/>
          </w:rPr>
          <m:t>={0,1}</m:t>
        </m:r>
      </m:oMath>
      <w:r>
        <w:rPr>
          <w:rFonts w:hint="eastAsia" w:ascii="宋体" w:hAnsi="宋体"/>
          <w:sz w:val="24"/>
        </w:rPr>
        <w:t>受</w:t>
      </w:r>
      <m:oMath>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ascii="Cambria Math" w:hAnsi="Cambria Math"/>
              </w:rPr>
              <m:t>u,k</m:t>
            </m:r>
            <m:ctrlPr>
              <w:rPr>
                <w:rFonts w:ascii="Cambria Math" w:hAnsi="Cambria Math"/>
                <w:i/>
              </w:rPr>
            </m:ctrlPr>
          </m:sub>
        </m:sSub>
        <m:r>
          <m:rPr/>
          <w:rPr>
            <w:rFonts w:ascii="Cambria Math" w:hAnsi="Cambria Math"/>
          </w:rPr>
          <m:t>={0,1}</m:t>
        </m:r>
      </m:oMath>
      <w:r>
        <w:rPr>
          <w:rFonts w:hint="eastAsia" w:ascii="宋体" w:hAnsi="宋体"/>
        </w:rPr>
        <w:t xml:space="preserve"> </w:t>
      </w:r>
      <m:oMath>
        <m:nary>
          <m:naryPr>
            <m:chr m:val="∑"/>
            <m:limLoc m:val="undOvr"/>
            <m:ctrlPr>
              <w:rPr>
                <w:rFonts w:ascii="Cambria Math" w:hAnsi="Cambria Math"/>
                <w:i/>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nary>
              <m:naryPr>
                <m:chr m:val="∑"/>
                <m:limLoc m:val="undOvr"/>
                <m:supHide m:val="1"/>
                <m:ctrlPr>
                  <w:rPr>
                    <w:rFonts w:ascii="Cambria Math" w:hAnsi="Cambria Math"/>
                    <w:i/>
                  </w:rPr>
                </m:ctrlPr>
              </m:naryPr>
              <m:sub>
                <m:r>
                  <m:rPr/>
                  <w:rPr>
                    <w:rFonts w:ascii="Cambria Math" w:hAnsi="Cambria Math"/>
                  </w:rPr>
                  <m:t>u∈v</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uv,k</m:t>
                    </m:r>
                    <m:ctrlPr>
                      <w:rPr>
                        <w:rFonts w:ascii="Cambria Math" w:hAnsi="Cambria Math"/>
                        <w:i/>
                      </w:rPr>
                    </m:ctrlPr>
                  </m:sub>
                </m:sSub>
                <m:ctrlPr>
                  <w:rPr>
                    <w:rFonts w:ascii="Cambria Math" w:hAnsi="Cambria Math"/>
                    <w:i/>
                  </w:rPr>
                </m:ctrlPr>
              </m:e>
            </m:nary>
            <m:ctrlPr>
              <w:rPr>
                <w:rFonts w:ascii="Cambria Math" w:hAnsi="Cambria Math"/>
                <w:i/>
              </w:rPr>
            </m:ctrlPr>
          </m:e>
        </m:nary>
        <m:r>
          <m:rPr/>
          <w:rPr>
            <w:rFonts w:ascii="Cambria Math" w:hAnsi="Cambria Math"/>
          </w:rPr>
          <m:t>=1,∀uϵV</m:t>
        </m:r>
      </m:oMath>
      <w:r>
        <w:rPr>
          <w:rFonts w:hint="eastAsia" w:ascii="宋体" w:hAnsi="宋体"/>
        </w:rPr>
        <w:t xml:space="preserve"> </w:t>
      </w:r>
      <m:oMath>
        <m:nary>
          <m:naryPr>
            <m:chr m:val="∑"/>
            <m:limLoc m:val="undOvr"/>
            <m:ctrlPr>
              <w:rPr>
                <w:rFonts w:ascii="Cambria Math" w:hAnsi="Cambria Math"/>
                <w:i/>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nary>
              <m:naryPr>
                <m:chr m:val="∑"/>
                <m:limLoc m:val="undOvr"/>
                <m:supHide m:val="1"/>
                <m:ctrlPr>
                  <w:rPr>
                    <w:rFonts w:ascii="Cambria Math" w:hAnsi="Cambria Math"/>
                    <w:i/>
                  </w:rPr>
                </m:ctrlPr>
              </m:naryPr>
              <m:sub>
                <m:r>
                  <m:rPr/>
                  <w:rPr>
                    <w:rFonts w:ascii="Cambria Math" w:hAnsi="Cambria Math"/>
                  </w:rPr>
                  <m:t>uϵv</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uv,k</m:t>
                    </m:r>
                    <m:ctrlPr>
                      <w:rPr>
                        <w:rFonts w:ascii="Cambria Math" w:hAnsi="Cambria Math"/>
                        <w:i/>
                      </w:rPr>
                    </m:ctrlPr>
                  </m:sub>
                </m:sSub>
                <m:ctrlPr>
                  <w:rPr>
                    <w:rFonts w:ascii="Cambria Math" w:hAnsi="Cambria Math"/>
                    <w:i/>
                  </w:rPr>
                </m:ctrlPr>
              </m:e>
            </m:nary>
            <m:ctrlPr>
              <w:rPr>
                <w:rFonts w:ascii="Cambria Math" w:hAnsi="Cambria Math"/>
                <w:i/>
              </w:rPr>
            </m:ctrlPr>
          </m:e>
        </m:nary>
        <m:r>
          <m:rPr/>
          <w:rPr>
            <w:rFonts w:ascii="Cambria Math" w:hAnsi="Cambria Math"/>
          </w:rPr>
          <m:t>=1,∀vϵV</m:t>
        </m:r>
      </m:oMath>
      <w:r>
        <w:rPr>
          <w:rFonts w:hint="eastAsia" w:ascii="宋体" w:hAnsi="宋体"/>
        </w:rPr>
        <w:t xml:space="preserve"> </w:t>
      </w:r>
      <w:r>
        <w:rPr>
          <w:rFonts w:hint="eastAsia" w:ascii="宋体" w:hAnsi="宋体"/>
          <w:sz w:val="24"/>
        </w:rPr>
        <w:t>影响</w:t>
      </w:r>
      <w:r>
        <w:rPr>
          <w:rFonts w:hint="eastAsia" w:ascii="宋体" w:hAnsi="宋体"/>
        </w:rPr>
        <w:t>。</w:t>
      </w:r>
    </w:p>
    <w:p w14:paraId="0BA960C4">
      <w:pPr>
        <w:spacing w:line="360" w:lineRule="auto"/>
        <w:ind w:right="210" w:rightChars="100"/>
        <w:rPr>
          <w:rFonts w:hint="eastAsia" w:ascii="宋体" w:hAnsi="宋体"/>
          <w:sz w:val="24"/>
        </w:rPr>
      </w:pPr>
      <w:r>
        <w:rPr>
          <w:rFonts w:ascii="宋体" w:hAnsi="宋体"/>
        </w:rPr>
        <w:tab/>
      </w:r>
      <w:r>
        <w:rPr>
          <w:rFonts w:hint="eastAsia" w:ascii="宋体" w:hAnsi="宋体"/>
          <w:sz w:val="24"/>
        </w:rPr>
        <w:t>此外，我们假设拼车最多允许两名乘客，一组用户预订位置和目的地分配给同一辆车，并且访问上车和下车位置的顺序是先上车后下车。</w:t>
      </w:r>
    </w:p>
    <w:p w14:paraId="6CE4C372">
      <w:pPr>
        <w:spacing w:line="360" w:lineRule="auto"/>
        <w:ind w:right="210" w:rightChars="100"/>
        <w:jc w:val="center"/>
        <w:rPr>
          <w:rFonts w:hint="eastAsia" w:ascii="宋体" w:hAnsi="宋体"/>
          <w:sz w:val="24"/>
        </w:rPr>
      </w:pPr>
      <w:r>
        <w:rPr>
          <w:rFonts w:hint="eastAsia" w:ascii="宋体" w:hAnsi="宋体"/>
          <w:sz w:val="24"/>
        </w:rPr>
        <w:t>三、室内概念验证与评估</w:t>
      </w:r>
    </w:p>
    <w:p w14:paraId="705984D7">
      <w:pPr>
        <w:spacing w:line="360" w:lineRule="auto"/>
        <w:ind w:right="210" w:rightChars="100"/>
        <w:rPr>
          <w:rFonts w:hint="eastAsia" w:ascii="宋体" w:hAnsi="宋体"/>
          <w:sz w:val="24"/>
        </w:rPr>
      </w:pPr>
      <w:r>
        <w:rPr>
          <w:rFonts w:ascii="宋体" w:hAnsi="宋体"/>
          <w:sz w:val="24"/>
        </w:rPr>
        <w:tab/>
      </w:r>
      <w:r>
        <w:rPr>
          <w:rFonts w:hint="eastAsia" w:ascii="宋体" w:hAnsi="宋体"/>
          <w:sz w:val="24"/>
        </w:rPr>
        <w:t>在本节中，我们将展示所提出的系统的概念验证，即基于数字孪生的汽车共享系统，用于优化配送系统，该系统包含多辆自动驾驶车辆。</w:t>
      </w:r>
    </w:p>
    <w:p w14:paraId="2DAA7BBD">
      <w:pPr>
        <w:spacing w:line="360" w:lineRule="auto"/>
        <w:ind w:right="210"/>
        <w:rPr>
          <w:rFonts w:hint="eastAsia" w:ascii="宋体" w:hAnsi="宋体"/>
          <w:sz w:val="24"/>
        </w:rPr>
      </w:pPr>
      <w:r>
        <w:rPr>
          <w:rFonts w:hint="eastAsia"/>
          <w:sz w:val="24"/>
        </w:rPr>
        <w:t>A</w:t>
      </w:r>
      <w:r>
        <w:rPr>
          <w:rFonts w:hint="eastAsia" w:ascii="宋体" w:hAnsi="宋体"/>
          <w:sz w:val="24"/>
        </w:rPr>
        <w:t>．室内实施</w:t>
      </w:r>
    </w:p>
    <w:p w14:paraId="09481717">
      <w:pPr>
        <w:spacing w:line="360" w:lineRule="auto"/>
        <w:ind w:right="210" w:rightChars="100"/>
        <w:rPr>
          <w:sz w:val="24"/>
        </w:rPr>
      </w:pPr>
      <w:r>
        <w:rPr>
          <w:rFonts w:ascii="宋体" w:hAnsi="宋体"/>
          <w:sz w:val="24"/>
        </w:rPr>
        <w:tab/>
      </w:r>
      <w:r>
        <w:rPr>
          <w:rFonts w:hint="eastAsia" w:ascii="宋体" w:hAnsi="宋体"/>
          <w:sz w:val="24"/>
        </w:rPr>
        <w:t>实验是在室内环境中进行的，采用的是缩小比例的模型。图</w:t>
      </w:r>
      <w:r>
        <w:rPr>
          <w:rFonts w:hint="eastAsia"/>
          <w:sz w:val="24"/>
        </w:rPr>
        <w:t>3</w:t>
      </w:r>
      <w:r>
        <w:rPr>
          <w:rFonts w:hint="eastAsia" w:ascii="宋体" w:hAnsi="宋体"/>
          <w:sz w:val="24"/>
        </w:rPr>
        <w:t xml:space="preserve">显示了实验环境。本次配送实验采用三辆 </w:t>
      </w:r>
      <w:r>
        <w:rPr>
          <w:sz w:val="24"/>
        </w:rPr>
        <w:t>Waffle Pi</w:t>
      </w:r>
      <w:r>
        <w:rPr>
          <w:rFonts w:hint="eastAsia" w:ascii="宋体" w:hAnsi="宋体"/>
          <w:sz w:val="24"/>
        </w:rPr>
        <w:t xml:space="preserve"> [</w:t>
      </w:r>
      <w:r>
        <w:rPr>
          <w:rFonts w:hint="eastAsia"/>
          <w:sz w:val="24"/>
        </w:rPr>
        <w:t>9</w:t>
      </w:r>
      <w:r>
        <w:rPr>
          <w:rFonts w:hint="eastAsia" w:ascii="宋体" w:hAnsi="宋体"/>
          <w:sz w:val="24"/>
        </w:rPr>
        <w:t>] 作为自动驾驶车辆进行。</w:t>
      </w:r>
      <w:r>
        <w:rPr>
          <w:rFonts w:hint="eastAsia"/>
          <w:sz w:val="24"/>
        </w:rPr>
        <w:t>Waffle Pi</w:t>
      </w:r>
      <w:r>
        <w:rPr>
          <w:rFonts w:hint="eastAsia" w:ascii="宋体" w:hAnsi="宋体"/>
          <w:sz w:val="24"/>
        </w:rPr>
        <w:t xml:space="preserve"> 配备了 </w:t>
      </w:r>
      <w:r>
        <w:rPr>
          <w:rFonts w:hint="eastAsia"/>
          <w:sz w:val="24"/>
        </w:rPr>
        <w:t>Raspberry Pi</w:t>
      </w:r>
      <w:r>
        <w:rPr>
          <w:rFonts w:hint="eastAsia" w:ascii="宋体" w:hAnsi="宋体"/>
          <w:sz w:val="24"/>
        </w:rPr>
        <w:t xml:space="preserve"> 4 作为板载 </w:t>
      </w:r>
      <w:r>
        <w:rPr>
          <w:rFonts w:hint="eastAsia"/>
          <w:sz w:val="24"/>
        </w:rPr>
        <w:t>PC</w:t>
      </w:r>
      <w:r>
        <w:rPr>
          <w:rFonts w:hint="eastAsia" w:ascii="宋体" w:hAnsi="宋体"/>
          <w:sz w:val="24"/>
        </w:rPr>
        <w:t xml:space="preserve">，还配备了 </w:t>
      </w:r>
      <w:r>
        <w:rPr>
          <w:sz w:val="24"/>
        </w:rPr>
        <w:t>LiDAR</w:t>
      </w:r>
      <w:r>
        <w:rPr>
          <w:rFonts w:hint="eastAsia" w:ascii="宋体" w:hAnsi="宋体"/>
          <w:sz w:val="24"/>
        </w:rPr>
        <w:t>、摄像头、</w:t>
      </w:r>
      <w:r>
        <w:rPr>
          <w:rFonts w:hint="eastAsia"/>
          <w:sz w:val="24"/>
        </w:rPr>
        <w:t>IMU 和车轮编码器。它通过自适应蒙特卡洛定位（AMCL）估计自身位置，并通过自动驾驶执行配送。目前，每台移动机器人均处于分布式控制之下。三辆车辆和用户设备通过 Wi-Fi 802.11ac 连接到路由器 NETGEAR X10 R9000 [10]。同时，每个 Waffle Pi 获取的位置和点云数据由汽车共享服务器 PC 收集。图 4 展示了一个已实现的数字孪生模型。基于收集到的信息，配送优化求解器在每次用户进行新的预订时，都会按顺序求解 DVRP 问题。优化后的路线规划结果会反馈给三个 Waffle Pi 系统。</w:t>
      </w:r>
    </w:p>
    <w:p w14:paraId="73AFB4FA">
      <w:pPr>
        <w:spacing w:line="360" w:lineRule="auto"/>
        <w:ind w:right="210"/>
        <w:rPr>
          <w:rFonts w:hint="eastAsia" w:ascii="宋体" w:hAnsi="宋体"/>
          <w:sz w:val="24"/>
        </w:rPr>
      </w:pPr>
      <w:r>
        <w:rPr>
          <w:rFonts w:hint="eastAsia"/>
          <w:sz w:val="24"/>
        </w:rPr>
        <w:t>B</w:t>
      </w:r>
      <w:r>
        <w:rPr>
          <w:rFonts w:hint="eastAsia" w:ascii="宋体" w:hAnsi="宋体"/>
          <w:sz w:val="24"/>
        </w:rPr>
        <w:t>．模拟</w:t>
      </w:r>
    </w:p>
    <w:p w14:paraId="455B2A0A">
      <w:pPr>
        <w:spacing w:line="360" w:lineRule="auto"/>
        <w:ind w:right="210" w:rightChars="100"/>
        <w:rPr>
          <w:sz w:val="24"/>
        </w:rPr>
      </w:pPr>
      <w:r>
        <w:rPr>
          <w:sz w:val="24"/>
        </w:rPr>
        <w:tab/>
      </w:r>
      <w:r>
        <w:rPr>
          <w:rFonts w:hint="eastAsia"/>
          <w:sz w:val="24"/>
        </w:rPr>
        <w:t>我们实施了传统的双向系统和所提出的单向浮动系统，并使用数字孪生技术对它们进行了模拟，以比较两种方法的交付效率。两种方法共同的模拟场景假设在从家前往目的地（例如超市停车场）时使用汽车共享服务。至于自动驾驶车辆完成配送任务的时间，我们认为是指自动驾驶车辆到达用户所在位置或将乘客派往指定目的地的时间。由于室内现场测试的局限性，我们没有考虑除共享汽车服务以外的其他车辆，也没有考虑通信延迟的影响。表 I 列出了仿真条件。</w:t>
      </w:r>
    </w:p>
    <w:p w14:paraId="38B71D91">
      <w:pPr>
        <w:spacing w:line="360" w:lineRule="auto"/>
        <w:ind w:right="210" w:rightChars="100"/>
        <w:rPr>
          <w:sz w:val="24"/>
        </w:rPr>
      </w:pPr>
      <w:r>
        <w:rPr>
          <w:sz w:val="24"/>
        </w:rPr>
        <w:tab/>
      </w:r>
      <w:r>
        <w:rPr>
          <w:rFonts w:hint="eastAsia"/>
          <w:sz w:val="24"/>
        </w:rPr>
        <w:t xml:space="preserve">在上述条件下，我们模拟了汽车共享服务，其预订发生频率有四种：250 秒、300 秒、350 秒和 400 秒。上述假设场景缩小到室内实验环境。首先，距离被缩小到 </w:t>
      </w:r>
      <w:r>
        <w:rPr>
          <w:sz w:val="24"/>
        </w:rPr>
        <w:t>1/1000</w:t>
      </w:r>
      <w:r>
        <w:rPr>
          <w:rFonts w:hint="eastAsia"/>
          <w:sz w:val="24"/>
        </w:rPr>
        <w:t>。其次，将车辆的最高速度转换为小型车辆的最高速度（最高速度为0.26米/秒）。第三，假设模型和模拟中预订发生的频率被转换成了相同的尺度。</w:t>
      </w:r>
    </w:p>
    <w:p w14:paraId="4F24597A">
      <w:pPr>
        <w:spacing w:line="360" w:lineRule="auto"/>
        <w:ind w:right="210" w:rightChars="100"/>
        <w:rPr>
          <w:sz w:val="24"/>
        </w:rPr>
      </w:pPr>
      <w:r>
        <w:rPr>
          <w:sz w:val="24"/>
        </w:rPr>
        <w:tab/>
      </w:r>
      <w:r>
        <w:rPr>
          <w:rFonts w:hint="eastAsia"/>
          <w:sz w:val="24"/>
        </w:rPr>
        <w:t>图 5 显示了使用自动驾驶技术优化配送方案的模拟结果。较长的红色、绿色和蓝色圆柱体代表用户的位置，较短的圆柱体代表目的地。连接到这些圆柱体的红色、绿色和蓝色线条分别是每辆车的行驶路线。图中左上角的 ID 和数字代表每辆自动驾驶汽车的送货清单。列表中的数字是预订编号。例如，如图 5 所示，车辆#2 的送货清单为 [1,6,6,1]。该列表表示车辆#2的计划如下：首先，车辆#2接用户#1，然后接用户#6，送用户#6下车，最后送用户#1下车。</w:t>
      </w:r>
    </w:p>
    <w:p w14:paraId="63FB639D">
      <w:pPr>
        <w:spacing w:line="360" w:lineRule="auto"/>
        <w:ind w:right="210" w:rightChars="100"/>
        <w:rPr>
          <w:sz w:val="24"/>
        </w:rPr>
      </w:pPr>
      <w:r>
        <w:rPr>
          <w:sz w:val="24"/>
        </w:rPr>
        <w:tab/>
      </w:r>
      <w:r>
        <w:rPr>
          <w:rFonts w:hint="eastAsia"/>
          <w:sz w:val="24"/>
        </w:rPr>
        <w:t>图 6 显示，采用所提出的方法的汽车共享系统能够比传统方法更快地完成配送任务。所提出的汽车共享系统能够将完成全部 14 次预订所需的平均时间缩短 63.2%。这是由于传统共享汽车在停车场停留的时间减少了。此外，表 II 显示，所提出的方法在预订频率方面的方差小于传统方法。换句话说，所提出的方法对预订发生频率的波动具有更大的容忍度。从这个角度来看，可以说所提出的系统具有很大的灵活性，能够满足不断变化的需求。</w:t>
      </w:r>
    </w:p>
    <w:p w14:paraId="4BCE56E7">
      <w:pPr>
        <w:spacing w:line="360" w:lineRule="auto"/>
        <w:ind w:right="210"/>
        <w:rPr>
          <w:rFonts w:hint="eastAsia" w:ascii="宋体" w:hAnsi="宋体"/>
          <w:sz w:val="24"/>
        </w:rPr>
      </w:pPr>
      <w:r>
        <w:rPr>
          <w:rFonts w:hint="eastAsia"/>
          <w:sz w:val="24"/>
        </w:rPr>
        <w:t>C</w:t>
      </w:r>
      <w:r>
        <w:rPr>
          <w:rFonts w:hint="eastAsia" w:ascii="宋体" w:hAnsi="宋体"/>
          <w:sz w:val="24"/>
        </w:rPr>
        <w:t>．室内实验</w:t>
      </w:r>
    </w:p>
    <w:p w14:paraId="1C7B10D9">
      <w:pPr>
        <w:spacing w:line="360" w:lineRule="auto"/>
        <w:ind w:right="210" w:rightChars="100"/>
        <w:rPr>
          <w:sz w:val="24"/>
        </w:rPr>
      </w:pPr>
      <w:r>
        <w:rPr>
          <w:sz w:val="24"/>
        </w:rPr>
        <w:tab/>
      </w:r>
      <w:r>
        <w:rPr>
          <w:rFonts w:hint="eastAsia"/>
          <w:sz w:val="24"/>
        </w:rPr>
        <w:t>接下来，我们将使用实际设备来演示所提出的汽车共享系统。此时，与上一节中构建的自动驾驶的仿真条件和控制系统保持一致。在本实验中，我们评估了所提出的系统在仿真和实际实验中完成任务数量的误差。实验环境配置与图 3 相同。</w:t>
      </w:r>
    </w:p>
    <w:p w14:paraId="655746D5">
      <w:pPr>
        <w:spacing w:line="360" w:lineRule="auto"/>
        <w:ind w:right="210" w:rightChars="100"/>
        <w:rPr>
          <w:sz w:val="24"/>
        </w:rPr>
      </w:pPr>
      <w:r>
        <w:rPr>
          <w:sz w:val="24"/>
        </w:rPr>
        <w:tab/>
      </w:r>
      <w:r>
        <w:rPr>
          <w:rFonts w:hint="eastAsia"/>
          <w:sz w:val="24"/>
        </w:rPr>
        <w:t>图 7 显示了在总预订量保持不变的情况下，将所提出的方法的仿真结果与实际机器上的实验结果进行比较，比较内容为实现交付所需的时间。图 7 中的红色误差线是所提出方法的仿真结果，与图 6 中提出的汽车共享系统仿真结果相同。绿色误差线是使用实际设备的实验结果。</w:t>
      </w:r>
    </w:p>
    <w:p w14:paraId="7A8EF9AB">
      <w:pPr>
        <w:spacing w:line="360" w:lineRule="auto"/>
        <w:ind w:right="210" w:rightChars="100"/>
        <w:rPr>
          <w:sz w:val="24"/>
        </w:rPr>
      </w:pPr>
      <w:r>
        <w:rPr>
          <w:sz w:val="24"/>
        </w:rPr>
        <w:tab/>
      </w:r>
      <w:r>
        <w:rPr>
          <w:rFonts w:hint="eastAsia"/>
          <w:sz w:val="24"/>
        </w:rPr>
        <w:t>模拟和实验中每个交付任务完成时间的平均误差为 1.18 秒，这与实际机器上的实验结果和模拟结果非常接近。</w:t>
      </w:r>
    </w:p>
    <w:p w14:paraId="28B3DF42">
      <w:pPr>
        <w:spacing w:line="360" w:lineRule="auto"/>
        <w:ind w:right="210" w:rightChars="100"/>
        <w:jc w:val="center"/>
        <w:rPr>
          <w:rFonts w:ascii="宋体" w:hAnsi="宋体"/>
          <w:sz w:val="24"/>
        </w:rPr>
      </w:pPr>
      <w:r>
        <w:rPr>
          <w:rFonts w:hint="eastAsia" w:ascii="宋体" w:hAnsi="宋体"/>
          <w:sz w:val="24"/>
        </w:rPr>
        <w:t>三、结论</w:t>
      </w:r>
    </w:p>
    <w:p w14:paraId="22F18021">
      <w:pPr>
        <w:spacing w:line="360" w:lineRule="auto"/>
        <w:ind w:right="210" w:rightChars="100"/>
        <w:rPr>
          <w:rFonts w:ascii="宋体" w:hAnsi="宋体"/>
          <w:sz w:val="24"/>
        </w:rPr>
      </w:pPr>
      <w:r>
        <w:rPr>
          <w:rFonts w:ascii="宋体" w:hAnsi="宋体"/>
          <w:sz w:val="24"/>
        </w:rPr>
        <w:tab/>
      </w:r>
      <w:r>
        <w:rPr>
          <w:rFonts w:hint="eastAsia" w:ascii="宋体" w:hAnsi="宋体"/>
          <w:sz w:val="24"/>
        </w:rPr>
        <w:t>在本研究中，我们提出了一种利用数字孪生技术的自动驾驶车辆最优配送系统。为了证明所提出的系统的可行性，我们构建了一个利用分布式控制的自动驾驶、V2X、数字孪生和最优配送计划的系统。通过将这四者结合起来，我们构建了一个完全优化的系统，将物理空间中自动驾驶车辆的信息反映到数字孪生体中，优化网络空间中的配送计划，并将结果反馈给自动驾驶车辆。使用数字孪生的仿真和实验均表明，在实时和按需需求条件下，所提出的汽车共享系统可以比传统方法更有效地减少配送任务所需的时间。此外，仿真结果与实际机器结果非常接近，证明了利用数字孪生技术的有效性。</w:t>
      </w:r>
    </w:p>
    <w:p w14:paraId="41E6FC0A">
      <w:pPr>
        <w:spacing w:line="360" w:lineRule="auto"/>
        <w:ind w:right="210" w:rightChars="100"/>
        <w:jc w:val="center"/>
        <w:rPr>
          <w:sz w:val="24"/>
        </w:rPr>
      </w:pPr>
      <w:r>
        <w:rPr>
          <w:rFonts w:hint="eastAsia"/>
          <w:sz w:val="24"/>
        </w:rPr>
        <w:t>致谢</w:t>
      </w:r>
    </w:p>
    <w:p w14:paraId="78270473">
      <w:pPr>
        <w:spacing w:line="360" w:lineRule="auto"/>
        <w:ind w:right="210" w:rightChars="100"/>
        <w:rPr>
          <w:rFonts w:hint="eastAsia"/>
          <w:sz w:val="24"/>
        </w:rPr>
      </w:pPr>
      <w:r>
        <w:rPr>
          <w:sz w:val="24"/>
        </w:rPr>
        <w:tab/>
      </w:r>
      <w:r>
        <w:rPr>
          <w:rFonts w:hint="eastAsia"/>
          <w:sz w:val="24"/>
        </w:rPr>
        <w:t>本研究由 NICT-JUNO（先进通信和广播研究与开发委托研究促进计划）#22404 资助。</w:t>
      </w:r>
    </w:p>
    <w:sectPr>
      <w:headerReference r:id="rId5" w:type="first"/>
      <w:head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体">
    <w:altName w:val="宋体"/>
    <w:panose1 w:val="00000000000000000000"/>
    <w:charset w:val="86"/>
    <w:family w:val="roma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5C612">
    <w:pPr>
      <w:pStyle w:val="12"/>
      <w:pBdr>
        <w:bottom w:val="none" w:color="auto" w:sz="0" w:space="0"/>
      </w:pBdr>
      <w:ind w:right="210"/>
      <w:jc w:val="right"/>
    </w:pPr>
    <w:r>
      <w:rPr>
        <w:rFonts w:hint="eastAsia"/>
      </w:rPr>
      <w:t>第</w:t>
    </w:r>
    <w:sdt>
      <w:sdtPr>
        <w:id w:val="51745680"/>
        <w:docPartObj>
          <w:docPartGallery w:val="autotext"/>
        </w:docPartObj>
      </w:sdtPr>
      <w:sdtContent>
        <w:r>
          <w:fldChar w:fldCharType="begin"/>
        </w:r>
        <w:r>
          <w:instrText xml:space="preserve">PAGE   \* MERGEFORMAT</w:instrText>
        </w:r>
        <w:r>
          <w:fldChar w:fldCharType="separate"/>
        </w:r>
        <w:r>
          <w:rPr>
            <w:lang w:val="zh-CN"/>
          </w:rPr>
          <w:t>2</w:t>
        </w:r>
        <w:r>
          <w:fldChar w:fldCharType="end"/>
        </w:r>
      </w:sdtContent>
    </w:sdt>
    <w:r>
      <w:rPr>
        <w:rFonts w:hint="eastAsia"/>
      </w:rPr>
      <w:t>页</w:t>
    </w:r>
  </w:p>
  <w:p w14:paraId="5F0DB5E1">
    <w:pPr>
      <w:pStyle w:val="12"/>
      <w:pBdr>
        <w:bottom w:val="single" w:color="auto" w:sz="4" w:space="0"/>
      </w:pBdr>
      <w:ind w:right="210"/>
    </w:pPr>
    <w:r>
      <w:rPr>
        <w:rFonts w:ascii="宋体" w:hAnsi="宋体"/>
        <w:sz w:val="24"/>
      </w:rPr>
      <w:t>中原工学院毕业论文（设计）译文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675C">
    <w:pPr>
      <w:pStyle w:val="12"/>
      <w:pBdr>
        <w:bottom w:val="none" w:color="auto" w:sz="0" w:space="0"/>
      </w:pBdr>
      <w:ind w:right="210"/>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25356D">
                          <w:pPr>
                            <w:pStyle w:val="12"/>
                            <w:pBdr>
                              <w:bottom w:val="none" w:color="auto" w:sz="0" w:space="0"/>
                            </w:pBdr>
                            <w:ind w:right="210"/>
                            <w:jc w:val="right"/>
                          </w:pPr>
                          <w:r>
                            <w:rPr>
                              <w:rFonts w:hint="eastAsia"/>
                            </w:rPr>
                            <w:t>第</w:t>
                          </w:r>
                          <w:sdt>
                            <w:sdtPr>
                              <w:id w:val="147473309"/>
                              <w:docPartObj>
                                <w:docPartGallery w:val="autotext"/>
                              </w:docPartObj>
                            </w:sdtPr>
                            <w:sdtContent>
                              <w:r>
                                <w:fldChar w:fldCharType="begin"/>
                              </w:r>
                              <w:r>
                                <w:instrText xml:space="preserve">PAGE   \* MERGEFORMAT</w:instrText>
                              </w:r>
                              <w:r>
                                <w:fldChar w:fldCharType="separate"/>
                              </w:r>
                              <w:r>
                                <w:rPr>
                                  <w:lang w:val="zh-CN"/>
                                </w:rPr>
                                <w:t>2</w:t>
                              </w:r>
                              <w:r>
                                <w:fldChar w:fldCharType="end"/>
                              </w:r>
                            </w:sdtContent>
                          </w:sdt>
                          <w:r>
                            <w:rPr>
                              <w:rFonts w:hint="eastAsia"/>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625356D">
                    <w:pPr>
                      <w:pStyle w:val="12"/>
                      <w:pBdr>
                        <w:bottom w:val="none" w:color="auto" w:sz="0" w:space="0"/>
                      </w:pBdr>
                      <w:ind w:right="210"/>
                      <w:jc w:val="right"/>
                    </w:pPr>
                    <w:r>
                      <w:rPr>
                        <w:rFonts w:hint="eastAsia"/>
                      </w:rPr>
                      <w:t>第</w:t>
                    </w:r>
                    <w:sdt>
                      <w:sdtPr>
                        <w:id w:val="147473309"/>
                        <w:docPartObj>
                          <w:docPartGallery w:val="autotext"/>
                        </w:docPartObj>
                      </w:sdtPr>
                      <w:sdtContent>
                        <w:r>
                          <w:fldChar w:fldCharType="begin"/>
                        </w:r>
                        <w:r>
                          <w:instrText xml:space="preserve">PAGE   \* MERGEFORMAT</w:instrText>
                        </w:r>
                        <w:r>
                          <w:fldChar w:fldCharType="separate"/>
                        </w:r>
                        <w:r>
                          <w:rPr>
                            <w:lang w:val="zh-CN"/>
                          </w:rPr>
                          <w:t>2</w:t>
                        </w:r>
                        <w:r>
                          <w:fldChar w:fldCharType="end"/>
                        </w:r>
                      </w:sdtContent>
                    </w:sdt>
                    <w:r>
                      <w:rPr>
                        <w:rFonts w:hint="eastAsia"/>
                      </w:rPr>
                      <w:t>页</w:t>
                    </w:r>
                  </w:p>
                </w:txbxContent>
              </v:textbox>
            </v:shape>
          </w:pict>
        </mc:Fallback>
      </mc:AlternateContent>
    </w:r>
  </w:p>
  <w:p w14:paraId="56725533">
    <w:pPr>
      <w:pStyle w:val="12"/>
      <w:pBdr>
        <w:bottom w:val="single" w:color="auto" w:sz="4" w:space="0"/>
      </w:pBdr>
      <w:ind w:right="210"/>
    </w:pPr>
    <w:r>
      <w:rPr>
        <w:rFonts w:ascii="宋体" w:hAnsi="宋体"/>
        <w:sz w:val="24"/>
      </w:rPr>
      <w:t>中原工学院毕业论文（设计）译文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5DCE8">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77CF6C">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4277CF6C">
                    <w:pPr>
                      <w:pStyle w:val="12"/>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4D9"/>
    <w:rsid w:val="00051468"/>
    <w:rsid w:val="00086DC2"/>
    <w:rsid w:val="00090C8F"/>
    <w:rsid w:val="000B531B"/>
    <w:rsid w:val="000B731A"/>
    <w:rsid w:val="000D1715"/>
    <w:rsid w:val="000F57EF"/>
    <w:rsid w:val="00105B49"/>
    <w:rsid w:val="00122912"/>
    <w:rsid w:val="001349E7"/>
    <w:rsid w:val="0013585F"/>
    <w:rsid w:val="00167746"/>
    <w:rsid w:val="00173435"/>
    <w:rsid w:val="00197064"/>
    <w:rsid w:val="001A0B49"/>
    <w:rsid w:val="001C1CFB"/>
    <w:rsid w:val="001C60C2"/>
    <w:rsid w:val="001F6337"/>
    <w:rsid w:val="002103F2"/>
    <w:rsid w:val="00214E58"/>
    <w:rsid w:val="00223897"/>
    <w:rsid w:val="00281C3A"/>
    <w:rsid w:val="002B60E1"/>
    <w:rsid w:val="002D7488"/>
    <w:rsid w:val="002E409D"/>
    <w:rsid w:val="00304F7F"/>
    <w:rsid w:val="00351CAA"/>
    <w:rsid w:val="0037102C"/>
    <w:rsid w:val="003A1880"/>
    <w:rsid w:val="003A38FF"/>
    <w:rsid w:val="00411187"/>
    <w:rsid w:val="004254B4"/>
    <w:rsid w:val="00425B7B"/>
    <w:rsid w:val="0047743B"/>
    <w:rsid w:val="004849FA"/>
    <w:rsid w:val="004E0D4A"/>
    <w:rsid w:val="004F08FF"/>
    <w:rsid w:val="004F4108"/>
    <w:rsid w:val="00527648"/>
    <w:rsid w:val="00573976"/>
    <w:rsid w:val="00583309"/>
    <w:rsid w:val="005C1C35"/>
    <w:rsid w:val="006158A8"/>
    <w:rsid w:val="00635D2F"/>
    <w:rsid w:val="006901E3"/>
    <w:rsid w:val="006A307A"/>
    <w:rsid w:val="006D1069"/>
    <w:rsid w:val="006D513B"/>
    <w:rsid w:val="00761EB2"/>
    <w:rsid w:val="00772C20"/>
    <w:rsid w:val="00784300"/>
    <w:rsid w:val="00791EC7"/>
    <w:rsid w:val="00835FD2"/>
    <w:rsid w:val="00885E11"/>
    <w:rsid w:val="00896582"/>
    <w:rsid w:val="008C71B1"/>
    <w:rsid w:val="008D0D34"/>
    <w:rsid w:val="0090561A"/>
    <w:rsid w:val="009444A2"/>
    <w:rsid w:val="00960FFF"/>
    <w:rsid w:val="00996AB0"/>
    <w:rsid w:val="009A4C70"/>
    <w:rsid w:val="009B726C"/>
    <w:rsid w:val="009C47C5"/>
    <w:rsid w:val="009D7EAD"/>
    <w:rsid w:val="009E68E7"/>
    <w:rsid w:val="00A020E7"/>
    <w:rsid w:val="00A1522B"/>
    <w:rsid w:val="00A43017"/>
    <w:rsid w:val="00A468A5"/>
    <w:rsid w:val="00A47FDE"/>
    <w:rsid w:val="00A504AD"/>
    <w:rsid w:val="00A635A8"/>
    <w:rsid w:val="00A63A88"/>
    <w:rsid w:val="00A75B1E"/>
    <w:rsid w:val="00A8688D"/>
    <w:rsid w:val="00A92AB4"/>
    <w:rsid w:val="00AA0CC3"/>
    <w:rsid w:val="00B02600"/>
    <w:rsid w:val="00B23A97"/>
    <w:rsid w:val="00B46EF1"/>
    <w:rsid w:val="00B50593"/>
    <w:rsid w:val="00B75BAD"/>
    <w:rsid w:val="00B804D9"/>
    <w:rsid w:val="00B95EBB"/>
    <w:rsid w:val="00BA680E"/>
    <w:rsid w:val="00C21D13"/>
    <w:rsid w:val="00CA5501"/>
    <w:rsid w:val="00D544C5"/>
    <w:rsid w:val="00D63100"/>
    <w:rsid w:val="00D7389D"/>
    <w:rsid w:val="00D932D1"/>
    <w:rsid w:val="00DA55D3"/>
    <w:rsid w:val="00DB6029"/>
    <w:rsid w:val="00DD7F44"/>
    <w:rsid w:val="00DE38D5"/>
    <w:rsid w:val="00DF1460"/>
    <w:rsid w:val="00DF2D85"/>
    <w:rsid w:val="00DF4146"/>
    <w:rsid w:val="00E15BA3"/>
    <w:rsid w:val="00E22BB4"/>
    <w:rsid w:val="00E251D4"/>
    <w:rsid w:val="00E26257"/>
    <w:rsid w:val="00E422BF"/>
    <w:rsid w:val="00E56D12"/>
    <w:rsid w:val="00E748D5"/>
    <w:rsid w:val="00E7643D"/>
    <w:rsid w:val="00EA74B2"/>
    <w:rsid w:val="00ED62F5"/>
    <w:rsid w:val="00EF605A"/>
    <w:rsid w:val="00F159DA"/>
    <w:rsid w:val="00F33120"/>
    <w:rsid w:val="00F41ECF"/>
    <w:rsid w:val="00FC37E8"/>
    <w:rsid w:val="00FC6C96"/>
    <w:rsid w:val="00FD03D1"/>
    <w:rsid w:val="4DAB4C3B"/>
    <w:rsid w:val="5BF23DB6"/>
    <w:rsid w:val="60BE0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szCs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 w:type="character" w:styleId="37">
    <w:name w:val="Placeholder Text"/>
    <w:basedOn w:val="16"/>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E64CB2-7111-4D8F-898A-55F83953D858}">
  <ds:schemaRefs/>
</ds:datastoreItem>
</file>

<file path=docProps/app.xml><?xml version="1.0" encoding="utf-8"?>
<Properties xmlns="http://schemas.openxmlformats.org/officeDocument/2006/extended-properties" xmlns:vt="http://schemas.openxmlformats.org/officeDocument/2006/docPropsVTypes">
  <Template>Normal.dotm</Template>
  <Pages>7</Pages>
  <Words>4449</Words>
  <Characters>4719</Characters>
  <Lines>36</Lines>
  <Paragraphs>10</Paragraphs>
  <TotalTime>0</TotalTime>
  <ScaleCrop>false</ScaleCrop>
  <LinksUpToDate>false</LinksUpToDate>
  <CharactersWithSpaces>4926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2026-02-02T08:25:00Z</dcterms:created>
  <dc:creator>泽圆 张</dc:creator>
  <cp:lastModifiedBy>在等你心动</cp:lastModifiedBy>
  <dcterms:modified xsi:type="dcterms:W3CDTF">2026-02-28T10:03:56Z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eyJoZGlkIjoiMTM1MmExM2ExYTczMTE5YjI3MGUyNTA5ZTNlYWQyMTciLCJ1c2VySWQiOiI4NTU0MzI2ODcifQ==</vt:lpwstr>
  </property>
  <property fmtid="{D5CDD505-2E9C-101B-9397-08002B2CF9AE}" pid="3" name="KSOProductBuildVer">
    <vt:lpwstr>2052-12.1.0.25225</vt:lpwstr>
  </property>
  <property fmtid="{D5CDD505-2E9C-101B-9397-08002B2CF9AE}" pid="4" name="ICV">
    <vt:lpwstr>3926CFED820D4ADC954928A05764D21F_12</vt:lpwstr>
  </property>
</Properties>
</file>