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682"/>
        <w:gridCol w:w="4942"/>
        <w:gridCol w:w="1682"/>
      </w:tblGrid>
      <w:tr w:rsidR="00DC437E" w14:paraId="48BE71C4" w14:textId="77777777" w:rsidTr="00DC437E">
        <w:trPr>
          <w:tblCellSpacing w:w="15" w:type="dxa"/>
        </w:trPr>
        <w:tc>
          <w:tcPr>
            <w:tcW w:w="0" w:type="auto"/>
            <w:gridSpan w:val="3"/>
            <w:tcMar>
              <w:top w:w="90" w:type="dxa"/>
              <w:left w:w="195" w:type="dxa"/>
              <w:bottom w:w="90" w:type="dxa"/>
              <w:right w:w="195" w:type="dxa"/>
            </w:tcMar>
            <w:vAlign w:val="center"/>
            <w:hideMark/>
          </w:tcPr>
          <w:p w14:paraId="6BDAECE1" w14:textId="77777777" w:rsidR="00DC437E" w:rsidRDefault="00DC437E">
            <w:pPr>
              <w:widowControl/>
              <w:jc w:val="center"/>
              <w:rPr>
                <w:b/>
                <w:bCs/>
              </w:rPr>
            </w:pPr>
            <w:r>
              <w:rPr>
                <w:b/>
                <w:bCs/>
              </w:rPr>
              <w:t>4. Spring Integration - Reference</w:t>
            </w:r>
          </w:p>
        </w:tc>
      </w:tr>
      <w:tr w:rsidR="00DC437E" w14:paraId="79772827" w14:textId="77777777" w:rsidTr="00DC437E">
        <w:trPr>
          <w:tblCellSpacing w:w="15" w:type="dxa"/>
        </w:trPr>
        <w:tc>
          <w:tcPr>
            <w:tcW w:w="1000" w:type="pct"/>
            <w:shd w:val="clear" w:color="auto" w:fill="F8F8F8"/>
            <w:tcMar>
              <w:top w:w="90" w:type="dxa"/>
              <w:left w:w="195" w:type="dxa"/>
              <w:bottom w:w="90" w:type="dxa"/>
              <w:right w:w="195" w:type="dxa"/>
            </w:tcMar>
            <w:vAlign w:val="center"/>
            <w:hideMark/>
          </w:tcPr>
          <w:p w14:paraId="4D1F5A1F" w14:textId="77777777" w:rsidR="00DC437E" w:rsidRDefault="00DC437E">
            <w:pPr>
              <w:jc w:val="left"/>
            </w:pPr>
            <w:hyperlink r:id="rId4" w:history="1">
              <w:r>
                <w:rPr>
                  <w:rStyle w:val="a3"/>
                  <w:color w:val="4183C4"/>
                  <w:u w:val="none"/>
                </w:rPr>
                <w:t>Prev</w:t>
              </w:r>
            </w:hyperlink>
            <w:r>
              <w:t> </w:t>
            </w:r>
          </w:p>
        </w:tc>
        <w:tc>
          <w:tcPr>
            <w:tcW w:w="3000" w:type="pct"/>
            <w:shd w:val="clear" w:color="auto" w:fill="F8F8F8"/>
            <w:tcMar>
              <w:top w:w="90" w:type="dxa"/>
              <w:left w:w="195" w:type="dxa"/>
              <w:bottom w:w="90" w:type="dxa"/>
              <w:right w:w="195" w:type="dxa"/>
            </w:tcMar>
            <w:vAlign w:val="center"/>
            <w:hideMark/>
          </w:tcPr>
          <w:p w14:paraId="46D14302" w14:textId="77777777" w:rsidR="00DC437E" w:rsidRDefault="00DC437E">
            <w:pPr>
              <w:jc w:val="center"/>
              <w:rPr>
                <w:b/>
                <w:bCs/>
              </w:rPr>
            </w:pPr>
            <w:r>
              <w:rPr>
                <w:b/>
                <w:bCs/>
              </w:rPr>
              <w:t> </w:t>
            </w:r>
          </w:p>
        </w:tc>
        <w:tc>
          <w:tcPr>
            <w:tcW w:w="1000" w:type="pct"/>
            <w:shd w:val="clear" w:color="auto" w:fill="F8F8F8"/>
            <w:tcMar>
              <w:top w:w="90" w:type="dxa"/>
              <w:left w:w="195" w:type="dxa"/>
              <w:bottom w:w="90" w:type="dxa"/>
              <w:right w:w="195" w:type="dxa"/>
            </w:tcMar>
            <w:vAlign w:val="center"/>
            <w:hideMark/>
          </w:tcPr>
          <w:p w14:paraId="65048535" w14:textId="77777777" w:rsidR="00DC437E" w:rsidRDefault="00DC437E">
            <w:pPr>
              <w:jc w:val="right"/>
            </w:pPr>
            <w:r>
              <w:t> </w:t>
            </w:r>
            <w:hyperlink r:id="rId5" w:history="1">
              <w:r>
                <w:rPr>
                  <w:rStyle w:val="a3"/>
                  <w:color w:val="4183C4"/>
                  <w:u w:val="none"/>
                </w:rPr>
                <w:t>Next</w:t>
              </w:r>
            </w:hyperlink>
          </w:p>
        </w:tc>
      </w:tr>
    </w:tbl>
    <w:p w14:paraId="6B4C6191" w14:textId="77777777" w:rsidR="00DC437E" w:rsidRDefault="00DC437E" w:rsidP="00DC437E">
      <w:pPr>
        <w:jc w:val="left"/>
        <w:rPr>
          <w:rFonts w:ascii="Helvetica" w:hAnsi="Helvetica" w:cs="Helvetica"/>
          <w:color w:val="333333"/>
          <w:sz w:val="27"/>
          <w:szCs w:val="27"/>
        </w:rPr>
      </w:pPr>
      <w:r>
        <w:rPr>
          <w:rFonts w:ascii="Helvetica" w:hAnsi="Helvetica" w:cs="Helvetica"/>
          <w:color w:val="333333"/>
          <w:sz w:val="27"/>
          <w:szCs w:val="27"/>
        </w:rPr>
        <w:pict w14:anchorId="758EE834">
          <v:rect id="_x0000_i1029" style="width:0;height:1.5pt" o:hralign="center" o:hrstd="t" o:hr="t" fillcolor="#a0a0a0" stroked="f"/>
        </w:pict>
      </w:r>
    </w:p>
    <w:p w14:paraId="6C47EC30" w14:textId="77777777" w:rsidR="00DC437E" w:rsidRDefault="00DC437E" w:rsidP="00DC437E">
      <w:pPr>
        <w:pStyle w:val="1"/>
        <w:spacing w:before="0" w:beforeAutospacing="0" w:after="450" w:afterAutospacing="0"/>
        <w:ind w:left="-240"/>
        <w:rPr>
          <w:rFonts w:ascii="Helvetica" w:hAnsi="Helvetica" w:cs="Helvetica"/>
          <w:color w:val="000000"/>
        </w:rPr>
      </w:pPr>
      <w:bookmarkStart w:id="0" w:name="_spring_integration_reference"/>
      <w:bookmarkEnd w:id="0"/>
      <w:r>
        <w:rPr>
          <w:rFonts w:ascii="Helvetica" w:hAnsi="Helvetica" w:cs="Helvetica"/>
          <w:color w:val="000000"/>
        </w:rPr>
        <w:t>4. Spring Integration - Reference</w:t>
      </w:r>
    </w:p>
    <w:p w14:paraId="1E3CD8AA" w14:textId="77777777" w:rsidR="00DC437E" w:rsidRDefault="00DC437E" w:rsidP="00DC437E">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part of the reference documentation provides a quick introduction to the AMQP support within the Spring Integration project.</w:t>
      </w:r>
    </w:p>
    <w:p w14:paraId="1F50A28A" w14:textId="77777777" w:rsidR="00DC437E" w:rsidRDefault="00DC437E" w:rsidP="00DC437E">
      <w:pPr>
        <w:pStyle w:val="2"/>
        <w:spacing w:before="0" w:after="150"/>
        <w:ind w:left="-240"/>
        <w:rPr>
          <w:rFonts w:ascii="Helvetica" w:hAnsi="Helvetica" w:cs="Helvetica"/>
          <w:color w:val="000000"/>
          <w:sz w:val="36"/>
          <w:szCs w:val="36"/>
        </w:rPr>
      </w:pPr>
      <w:bookmarkStart w:id="1" w:name="spring-integration-amqp"/>
      <w:bookmarkEnd w:id="1"/>
      <w:r>
        <w:rPr>
          <w:rFonts w:ascii="Helvetica" w:hAnsi="Helvetica" w:cs="Helvetica"/>
          <w:color w:val="000000"/>
        </w:rPr>
        <w:t>4.1 Spring Integration AMQP Support</w:t>
      </w:r>
    </w:p>
    <w:p w14:paraId="7378451F" w14:textId="77777777" w:rsidR="00DC437E" w:rsidRDefault="00DC437E" w:rsidP="00DC437E">
      <w:pPr>
        <w:pStyle w:val="3"/>
        <w:spacing w:before="0" w:after="150"/>
        <w:ind w:left="-240"/>
        <w:rPr>
          <w:rFonts w:ascii="Helvetica" w:hAnsi="Helvetica" w:cs="Helvetica"/>
          <w:color w:val="000000"/>
          <w:sz w:val="30"/>
          <w:szCs w:val="30"/>
        </w:rPr>
      </w:pPr>
      <w:bookmarkStart w:id="2" w:name="spring-integration-amqp-introduction"/>
      <w:bookmarkEnd w:id="2"/>
      <w:r>
        <w:rPr>
          <w:rFonts w:ascii="Helvetica" w:hAnsi="Helvetica" w:cs="Helvetica"/>
          <w:color w:val="000000"/>
          <w:sz w:val="30"/>
          <w:szCs w:val="30"/>
        </w:rPr>
        <w:t>4.1.1 Introduction</w:t>
      </w:r>
    </w:p>
    <w:p w14:paraId="6800B0EB" w14:textId="77777777" w:rsidR="00DC437E" w:rsidRDefault="00DC437E" w:rsidP="00DC437E">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6" w:tgtFrame="_top" w:history="1">
        <w:r>
          <w:rPr>
            <w:rStyle w:val="a3"/>
            <w:rFonts w:ascii="Helvetica" w:hAnsi="Helvetica" w:cs="Helvetica"/>
            <w:color w:val="4183C4"/>
            <w:sz w:val="27"/>
            <w:szCs w:val="27"/>
            <w:u w:val="none"/>
          </w:rPr>
          <w:t>Spring Integration</w:t>
        </w:r>
      </w:hyperlink>
      <w:r>
        <w:rPr>
          <w:rFonts w:ascii="Helvetica" w:hAnsi="Helvetica" w:cs="Helvetica"/>
          <w:color w:val="333333"/>
          <w:sz w:val="27"/>
          <w:szCs w:val="27"/>
        </w:rPr>
        <w:t> project includes AMQP Channel Adapters and Gateways that build upon the Spring AMQP project. Those adapters are developed and released in the Spring Integration project. In Spring Integration, "Channel Adapters" are unidirectional (one-way) whereas "Gateways" are bidirectional (request-reply). We provide an inbound-channel-adapter, outbound-channel-adapter, inbound-gateway, and outbound-gateway.</w:t>
      </w:r>
    </w:p>
    <w:p w14:paraId="7D900E8B" w14:textId="77777777" w:rsidR="00DC437E" w:rsidRDefault="00DC437E" w:rsidP="00DC437E">
      <w:pPr>
        <w:pStyle w:val="a4"/>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Since the AMQP adapters are part of the Spring Integration release, the documentation will be available as part of the Spring Integration distribution. As a taster, we just provide a quick overview of the main features here.</w:t>
      </w:r>
    </w:p>
    <w:p w14:paraId="1A8AEF46" w14:textId="77777777" w:rsidR="00DC437E" w:rsidRDefault="00DC437E" w:rsidP="00DC437E">
      <w:pPr>
        <w:pStyle w:val="3"/>
        <w:spacing w:before="0" w:after="150"/>
        <w:ind w:left="-240"/>
        <w:rPr>
          <w:rFonts w:ascii="Helvetica" w:hAnsi="Helvetica" w:cs="Helvetica"/>
          <w:color w:val="000000"/>
          <w:sz w:val="30"/>
          <w:szCs w:val="30"/>
        </w:rPr>
      </w:pPr>
      <w:bookmarkStart w:id="3" w:name="_inbound_channel_adapter"/>
      <w:bookmarkEnd w:id="3"/>
      <w:r>
        <w:rPr>
          <w:rFonts w:ascii="Helvetica" w:hAnsi="Helvetica" w:cs="Helvetica"/>
          <w:color w:val="000000"/>
          <w:sz w:val="30"/>
          <w:szCs w:val="30"/>
        </w:rPr>
        <w:t>4.1.2 Inbound Channel Adapter</w:t>
      </w:r>
    </w:p>
    <w:p w14:paraId="5F09FECF" w14:textId="77777777" w:rsidR="00DC437E" w:rsidRDefault="00DC437E" w:rsidP="00DC437E">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receive AMQP Messages from a Queue, configure an &lt;inbound-channel-adapter&gt;</w:t>
      </w:r>
    </w:p>
    <w:p w14:paraId="1D8135C0"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&lt;amqp:inbound-channel-adapter</w:t>
      </w:r>
      <w:r>
        <w:rPr>
          <w:rFonts w:ascii="Consolas" w:hAnsi="Consolas"/>
          <w:color w:val="000000"/>
          <w:sz w:val="23"/>
          <w:szCs w:val="23"/>
        </w:rPr>
        <w:t xml:space="preserve"> </w:t>
      </w:r>
      <w:r>
        <w:rPr>
          <w:rStyle w:val="hl-attribute"/>
          <w:rFonts w:ascii="Consolas" w:hAnsi="Consolas"/>
          <w:color w:val="7F007F"/>
          <w:sz w:val="23"/>
          <w:szCs w:val="23"/>
        </w:rPr>
        <w:t>channel</w:t>
      </w:r>
      <w:r>
        <w:rPr>
          <w:rFonts w:ascii="Consolas" w:hAnsi="Consolas"/>
          <w:color w:val="000000"/>
          <w:sz w:val="23"/>
          <w:szCs w:val="23"/>
        </w:rPr>
        <w:t>=</w:t>
      </w:r>
      <w:r>
        <w:rPr>
          <w:rStyle w:val="hl-value"/>
          <w:rFonts w:ascii="Consolas" w:hAnsi="Consolas"/>
          <w:color w:val="2A00FF"/>
          <w:sz w:val="23"/>
          <w:szCs w:val="23"/>
        </w:rPr>
        <w:t>"fromAMQP"</w:t>
      </w:r>
    </w:p>
    <w:p w14:paraId="00F7C578"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queue-names</w:t>
      </w:r>
      <w:r>
        <w:rPr>
          <w:rFonts w:ascii="Consolas" w:hAnsi="Consolas"/>
          <w:color w:val="000000"/>
          <w:sz w:val="23"/>
          <w:szCs w:val="23"/>
        </w:rPr>
        <w:t>=</w:t>
      </w:r>
      <w:r>
        <w:rPr>
          <w:rStyle w:val="hl-value"/>
          <w:rFonts w:ascii="Consolas" w:hAnsi="Consolas"/>
          <w:color w:val="2A00FF"/>
          <w:sz w:val="23"/>
          <w:szCs w:val="23"/>
        </w:rPr>
        <w:t>"some.queue"</w:t>
      </w:r>
    </w:p>
    <w:p w14:paraId="3C5F4158"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connection-factory</w:t>
      </w:r>
      <w:r>
        <w:rPr>
          <w:rFonts w:ascii="Consolas" w:hAnsi="Consolas"/>
          <w:color w:val="000000"/>
          <w:sz w:val="23"/>
          <w:szCs w:val="23"/>
        </w:rPr>
        <w:t>=</w:t>
      </w:r>
      <w:r>
        <w:rPr>
          <w:rStyle w:val="hl-value"/>
          <w:rFonts w:ascii="Consolas" w:hAnsi="Consolas"/>
          <w:color w:val="2A00FF"/>
          <w:sz w:val="23"/>
          <w:szCs w:val="23"/>
        </w:rPr>
        <w:t>"rabbitConnectionFactory"</w:t>
      </w:r>
      <w:r>
        <w:rPr>
          <w:rStyle w:val="hl-tag"/>
          <w:rFonts w:ascii="Consolas" w:hAnsi="Consolas"/>
          <w:color w:val="3F7F7F"/>
          <w:sz w:val="23"/>
          <w:szCs w:val="23"/>
        </w:rPr>
        <w:t>/&gt;</w:t>
      </w:r>
    </w:p>
    <w:p w14:paraId="2D5AA204" w14:textId="77777777" w:rsidR="00DC437E" w:rsidRDefault="00DC437E" w:rsidP="00DC437E">
      <w:pPr>
        <w:pStyle w:val="3"/>
        <w:spacing w:before="0" w:after="150"/>
        <w:ind w:left="-240"/>
        <w:rPr>
          <w:rFonts w:ascii="Helvetica" w:hAnsi="Helvetica" w:cs="Helvetica"/>
          <w:color w:val="000000"/>
          <w:sz w:val="30"/>
          <w:szCs w:val="30"/>
        </w:rPr>
      </w:pPr>
      <w:bookmarkStart w:id="4" w:name="_outbound_channel_adapter"/>
      <w:bookmarkEnd w:id="4"/>
      <w:r>
        <w:rPr>
          <w:rFonts w:ascii="Helvetica" w:hAnsi="Helvetica" w:cs="Helvetica"/>
          <w:color w:val="000000"/>
          <w:sz w:val="30"/>
          <w:szCs w:val="30"/>
        </w:rPr>
        <w:t>4.1.3 Outbound Channel Adapter</w:t>
      </w:r>
    </w:p>
    <w:p w14:paraId="0906389E" w14:textId="77777777" w:rsidR="00DC437E" w:rsidRDefault="00DC437E" w:rsidP="00DC437E">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send AMQP Messages to an Exchange, configure an &lt;outbound-channel-adapter&gt;. A </w:t>
      </w:r>
      <w:r>
        <w:rPr>
          <w:rStyle w:val="a5"/>
          <w:rFonts w:ascii="Helvetica" w:hAnsi="Helvetica" w:cs="Helvetica"/>
          <w:color w:val="333333"/>
          <w:sz w:val="27"/>
          <w:szCs w:val="27"/>
        </w:rPr>
        <w:t>routing-key</w:t>
      </w:r>
      <w:r>
        <w:rPr>
          <w:rFonts w:ascii="Helvetica" w:hAnsi="Helvetica" w:cs="Helvetica"/>
          <w:color w:val="333333"/>
          <w:sz w:val="27"/>
          <w:szCs w:val="27"/>
        </w:rPr>
        <w:t> may optionally be provided in addition to the exchange name.</w:t>
      </w:r>
    </w:p>
    <w:p w14:paraId="4EB6AB9C"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&lt;amqp:outbound-channel-adapter</w:t>
      </w:r>
      <w:r>
        <w:rPr>
          <w:rFonts w:ascii="Consolas" w:hAnsi="Consolas"/>
          <w:color w:val="000000"/>
          <w:sz w:val="23"/>
          <w:szCs w:val="23"/>
        </w:rPr>
        <w:t xml:space="preserve"> </w:t>
      </w:r>
      <w:r>
        <w:rPr>
          <w:rStyle w:val="hl-attribute"/>
          <w:rFonts w:ascii="Consolas" w:hAnsi="Consolas"/>
          <w:color w:val="7F007F"/>
          <w:sz w:val="23"/>
          <w:szCs w:val="23"/>
        </w:rPr>
        <w:t>channel</w:t>
      </w:r>
      <w:r>
        <w:rPr>
          <w:rFonts w:ascii="Consolas" w:hAnsi="Consolas"/>
          <w:color w:val="000000"/>
          <w:sz w:val="23"/>
          <w:szCs w:val="23"/>
        </w:rPr>
        <w:t>=</w:t>
      </w:r>
      <w:r>
        <w:rPr>
          <w:rStyle w:val="hl-value"/>
          <w:rFonts w:ascii="Consolas" w:hAnsi="Consolas"/>
          <w:color w:val="2A00FF"/>
          <w:sz w:val="23"/>
          <w:szCs w:val="23"/>
        </w:rPr>
        <w:t>"toAMQP"</w:t>
      </w:r>
    </w:p>
    <w:p w14:paraId="50E271F0"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exchange-name</w:t>
      </w:r>
      <w:r>
        <w:rPr>
          <w:rFonts w:ascii="Consolas" w:hAnsi="Consolas"/>
          <w:color w:val="000000"/>
          <w:sz w:val="23"/>
          <w:szCs w:val="23"/>
        </w:rPr>
        <w:t>=</w:t>
      </w:r>
      <w:r>
        <w:rPr>
          <w:rStyle w:val="hl-value"/>
          <w:rFonts w:ascii="Consolas" w:hAnsi="Consolas"/>
          <w:color w:val="2A00FF"/>
          <w:sz w:val="23"/>
          <w:szCs w:val="23"/>
        </w:rPr>
        <w:t>"some.exchange"</w:t>
      </w:r>
    </w:p>
    <w:p w14:paraId="1A39DE1B"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routing-key</w:t>
      </w:r>
      <w:r>
        <w:rPr>
          <w:rFonts w:ascii="Consolas" w:hAnsi="Consolas"/>
          <w:color w:val="000000"/>
          <w:sz w:val="23"/>
          <w:szCs w:val="23"/>
        </w:rPr>
        <w:t>=</w:t>
      </w:r>
      <w:r>
        <w:rPr>
          <w:rStyle w:val="hl-value"/>
          <w:rFonts w:ascii="Consolas" w:hAnsi="Consolas"/>
          <w:color w:val="2A00FF"/>
          <w:sz w:val="23"/>
          <w:szCs w:val="23"/>
        </w:rPr>
        <w:t>"foo"</w:t>
      </w:r>
    </w:p>
    <w:p w14:paraId="390A6416"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amqp-template</w:t>
      </w:r>
      <w:r>
        <w:rPr>
          <w:rFonts w:ascii="Consolas" w:hAnsi="Consolas"/>
          <w:color w:val="000000"/>
          <w:sz w:val="23"/>
          <w:szCs w:val="23"/>
        </w:rPr>
        <w:t>=</w:t>
      </w:r>
      <w:r>
        <w:rPr>
          <w:rStyle w:val="hl-value"/>
          <w:rFonts w:ascii="Consolas" w:hAnsi="Consolas"/>
          <w:color w:val="2A00FF"/>
          <w:sz w:val="23"/>
          <w:szCs w:val="23"/>
        </w:rPr>
        <w:t>"rabbitTemplate"</w:t>
      </w:r>
      <w:r>
        <w:rPr>
          <w:rStyle w:val="hl-tag"/>
          <w:rFonts w:ascii="Consolas" w:hAnsi="Consolas"/>
          <w:color w:val="3F7F7F"/>
          <w:sz w:val="23"/>
          <w:szCs w:val="23"/>
        </w:rPr>
        <w:t>/&gt;</w:t>
      </w:r>
    </w:p>
    <w:p w14:paraId="5EAE7542" w14:textId="77777777" w:rsidR="00DC437E" w:rsidRDefault="00DC437E" w:rsidP="00DC437E">
      <w:pPr>
        <w:pStyle w:val="3"/>
        <w:spacing w:before="0" w:after="150"/>
        <w:ind w:left="-240"/>
        <w:rPr>
          <w:rFonts w:ascii="Helvetica" w:hAnsi="Helvetica" w:cs="Helvetica"/>
          <w:color w:val="000000"/>
          <w:sz w:val="30"/>
          <w:szCs w:val="30"/>
        </w:rPr>
      </w:pPr>
      <w:bookmarkStart w:id="5" w:name="_inbound_gateway"/>
      <w:bookmarkEnd w:id="5"/>
      <w:r>
        <w:rPr>
          <w:rFonts w:ascii="Helvetica" w:hAnsi="Helvetica" w:cs="Helvetica"/>
          <w:color w:val="000000"/>
          <w:sz w:val="30"/>
          <w:szCs w:val="30"/>
        </w:rPr>
        <w:t>4.1.4 Inbound Gateway</w:t>
      </w:r>
    </w:p>
    <w:p w14:paraId="65D559F0" w14:textId="77777777" w:rsidR="00DC437E" w:rsidRDefault="00DC437E" w:rsidP="00DC437E">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receive an AMQP Message from a Queue, and respond to its reply-to address, configure an &lt;inbound-gateway&gt;.</w:t>
      </w:r>
    </w:p>
    <w:p w14:paraId="44E83AC8"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&lt;amqp:inbound-gateway</w:t>
      </w:r>
      <w:r>
        <w:rPr>
          <w:rFonts w:ascii="Consolas" w:hAnsi="Consolas"/>
          <w:color w:val="000000"/>
          <w:sz w:val="23"/>
          <w:szCs w:val="23"/>
        </w:rPr>
        <w:t xml:space="preserve"> </w:t>
      </w:r>
      <w:r>
        <w:rPr>
          <w:rStyle w:val="hl-attribute"/>
          <w:rFonts w:ascii="Consolas" w:hAnsi="Consolas"/>
          <w:color w:val="7F007F"/>
          <w:sz w:val="23"/>
          <w:szCs w:val="23"/>
        </w:rPr>
        <w:t>request-channel</w:t>
      </w:r>
      <w:r>
        <w:rPr>
          <w:rFonts w:ascii="Consolas" w:hAnsi="Consolas"/>
          <w:color w:val="000000"/>
          <w:sz w:val="23"/>
          <w:szCs w:val="23"/>
        </w:rPr>
        <w:t>=</w:t>
      </w:r>
      <w:r>
        <w:rPr>
          <w:rStyle w:val="hl-value"/>
          <w:rFonts w:ascii="Consolas" w:hAnsi="Consolas"/>
          <w:color w:val="2A00FF"/>
          <w:sz w:val="23"/>
          <w:szCs w:val="23"/>
        </w:rPr>
        <w:t>"fromAMQP"</w:t>
      </w:r>
    </w:p>
    <w:p w14:paraId="1C23E865"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reply-channel</w:t>
      </w:r>
      <w:r>
        <w:rPr>
          <w:rFonts w:ascii="Consolas" w:hAnsi="Consolas"/>
          <w:color w:val="000000"/>
          <w:sz w:val="23"/>
          <w:szCs w:val="23"/>
        </w:rPr>
        <w:t>=</w:t>
      </w:r>
      <w:r>
        <w:rPr>
          <w:rStyle w:val="hl-value"/>
          <w:rFonts w:ascii="Consolas" w:hAnsi="Consolas"/>
          <w:color w:val="2A00FF"/>
          <w:sz w:val="23"/>
          <w:szCs w:val="23"/>
        </w:rPr>
        <w:t>"toAMQP"</w:t>
      </w:r>
    </w:p>
    <w:p w14:paraId="28972716"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queue-names</w:t>
      </w:r>
      <w:r>
        <w:rPr>
          <w:rFonts w:ascii="Consolas" w:hAnsi="Consolas"/>
          <w:color w:val="000000"/>
          <w:sz w:val="23"/>
          <w:szCs w:val="23"/>
        </w:rPr>
        <w:t>=</w:t>
      </w:r>
      <w:r>
        <w:rPr>
          <w:rStyle w:val="hl-value"/>
          <w:rFonts w:ascii="Consolas" w:hAnsi="Consolas"/>
          <w:color w:val="2A00FF"/>
          <w:sz w:val="23"/>
          <w:szCs w:val="23"/>
        </w:rPr>
        <w:t>"some.queue"</w:t>
      </w:r>
    </w:p>
    <w:p w14:paraId="49C339E7"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connection-factory</w:t>
      </w:r>
      <w:r>
        <w:rPr>
          <w:rFonts w:ascii="Consolas" w:hAnsi="Consolas"/>
          <w:color w:val="000000"/>
          <w:sz w:val="23"/>
          <w:szCs w:val="23"/>
        </w:rPr>
        <w:t>=</w:t>
      </w:r>
      <w:r>
        <w:rPr>
          <w:rStyle w:val="hl-value"/>
          <w:rFonts w:ascii="Consolas" w:hAnsi="Consolas"/>
          <w:color w:val="2A00FF"/>
          <w:sz w:val="23"/>
          <w:szCs w:val="23"/>
        </w:rPr>
        <w:t>"rabbitConnectionFactory"</w:t>
      </w:r>
      <w:r>
        <w:rPr>
          <w:rStyle w:val="hl-tag"/>
          <w:rFonts w:ascii="Consolas" w:hAnsi="Consolas"/>
          <w:color w:val="3F7F7F"/>
          <w:sz w:val="23"/>
          <w:szCs w:val="23"/>
        </w:rPr>
        <w:t>/&gt;</w:t>
      </w:r>
    </w:p>
    <w:p w14:paraId="6191349F" w14:textId="77777777" w:rsidR="00DC437E" w:rsidRDefault="00DC437E" w:rsidP="00DC437E">
      <w:pPr>
        <w:pStyle w:val="3"/>
        <w:spacing w:before="0" w:after="150"/>
        <w:ind w:left="-240"/>
        <w:rPr>
          <w:rFonts w:ascii="Helvetica" w:hAnsi="Helvetica" w:cs="Helvetica"/>
          <w:color w:val="000000"/>
          <w:sz w:val="30"/>
          <w:szCs w:val="30"/>
        </w:rPr>
      </w:pPr>
      <w:bookmarkStart w:id="6" w:name="_outbound_gateway"/>
      <w:bookmarkEnd w:id="6"/>
      <w:r>
        <w:rPr>
          <w:rFonts w:ascii="Helvetica" w:hAnsi="Helvetica" w:cs="Helvetica"/>
          <w:color w:val="000000"/>
          <w:sz w:val="30"/>
          <w:szCs w:val="30"/>
        </w:rPr>
        <w:t>4.1.5 Outbound Gateway</w:t>
      </w:r>
    </w:p>
    <w:p w14:paraId="1A9CB292" w14:textId="77777777" w:rsidR="00DC437E" w:rsidRDefault="00DC437E" w:rsidP="00DC437E">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send AMQP Messages to an Exchange and receive back a response from a remote client, configure an &lt;outbound-gateway&gt;. A </w:t>
      </w:r>
      <w:r>
        <w:rPr>
          <w:rStyle w:val="a5"/>
          <w:rFonts w:ascii="Helvetica" w:hAnsi="Helvetica" w:cs="Helvetica"/>
          <w:color w:val="333333"/>
          <w:sz w:val="27"/>
          <w:szCs w:val="27"/>
        </w:rPr>
        <w:t>routing-key</w:t>
      </w:r>
      <w:r>
        <w:rPr>
          <w:rFonts w:ascii="Helvetica" w:hAnsi="Helvetica" w:cs="Helvetica"/>
          <w:color w:val="333333"/>
          <w:sz w:val="27"/>
          <w:szCs w:val="27"/>
        </w:rPr>
        <w:t> may optionally be provided in addition to the exchange name.</w:t>
      </w:r>
    </w:p>
    <w:p w14:paraId="087B59B8"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&lt;amqp:outbound-gateway</w:t>
      </w:r>
      <w:r>
        <w:rPr>
          <w:rFonts w:ascii="Consolas" w:hAnsi="Consolas"/>
          <w:color w:val="000000"/>
          <w:sz w:val="23"/>
          <w:szCs w:val="23"/>
        </w:rPr>
        <w:t xml:space="preserve"> </w:t>
      </w:r>
      <w:r>
        <w:rPr>
          <w:rStyle w:val="hl-attribute"/>
          <w:rFonts w:ascii="Consolas" w:hAnsi="Consolas"/>
          <w:color w:val="7F007F"/>
          <w:sz w:val="23"/>
          <w:szCs w:val="23"/>
        </w:rPr>
        <w:t>request-channel</w:t>
      </w:r>
      <w:r>
        <w:rPr>
          <w:rFonts w:ascii="Consolas" w:hAnsi="Consolas"/>
          <w:color w:val="000000"/>
          <w:sz w:val="23"/>
          <w:szCs w:val="23"/>
        </w:rPr>
        <w:t>=</w:t>
      </w:r>
      <w:r>
        <w:rPr>
          <w:rStyle w:val="hl-value"/>
          <w:rFonts w:ascii="Consolas" w:hAnsi="Consolas"/>
          <w:color w:val="2A00FF"/>
          <w:sz w:val="23"/>
          <w:szCs w:val="23"/>
        </w:rPr>
        <w:t>"toAMQP"</w:t>
      </w:r>
    </w:p>
    <w:p w14:paraId="7F2D90AD"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reply-channel</w:t>
      </w:r>
      <w:r>
        <w:rPr>
          <w:rFonts w:ascii="Consolas" w:hAnsi="Consolas"/>
          <w:color w:val="000000"/>
          <w:sz w:val="23"/>
          <w:szCs w:val="23"/>
        </w:rPr>
        <w:t>=</w:t>
      </w:r>
      <w:r>
        <w:rPr>
          <w:rStyle w:val="hl-value"/>
          <w:rFonts w:ascii="Consolas" w:hAnsi="Consolas"/>
          <w:color w:val="2A00FF"/>
          <w:sz w:val="23"/>
          <w:szCs w:val="23"/>
        </w:rPr>
        <w:t>"fromAMQP"</w:t>
      </w:r>
    </w:p>
    <w:p w14:paraId="12143CD4"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exchange-name</w:t>
      </w:r>
      <w:r>
        <w:rPr>
          <w:rFonts w:ascii="Consolas" w:hAnsi="Consolas"/>
          <w:color w:val="000000"/>
          <w:sz w:val="23"/>
          <w:szCs w:val="23"/>
        </w:rPr>
        <w:t>=</w:t>
      </w:r>
      <w:r>
        <w:rPr>
          <w:rStyle w:val="hl-value"/>
          <w:rFonts w:ascii="Consolas" w:hAnsi="Consolas"/>
          <w:color w:val="2A00FF"/>
          <w:sz w:val="23"/>
          <w:szCs w:val="23"/>
        </w:rPr>
        <w:t>"some.exchange"</w:t>
      </w:r>
    </w:p>
    <w:p w14:paraId="2D6E4DC9"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routing-key</w:t>
      </w:r>
      <w:r>
        <w:rPr>
          <w:rFonts w:ascii="Consolas" w:hAnsi="Consolas"/>
          <w:color w:val="000000"/>
          <w:sz w:val="23"/>
          <w:szCs w:val="23"/>
        </w:rPr>
        <w:t>=</w:t>
      </w:r>
      <w:r>
        <w:rPr>
          <w:rStyle w:val="hl-value"/>
          <w:rFonts w:ascii="Consolas" w:hAnsi="Consolas"/>
          <w:color w:val="2A00FF"/>
          <w:sz w:val="23"/>
          <w:szCs w:val="23"/>
        </w:rPr>
        <w:t>"foo"</w:t>
      </w:r>
    </w:p>
    <w:p w14:paraId="7BAAD768" w14:textId="77777777" w:rsidR="00DC437E" w:rsidRDefault="00DC437E" w:rsidP="00DC437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amqp-template</w:t>
      </w:r>
      <w:r>
        <w:rPr>
          <w:rFonts w:ascii="Consolas" w:hAnsi="Consolas"/>
          <w:color w:val="000000"/>
          <w:sz w:val="23"/>
          <w:szCs w:val="23"/>
        </w:rPr>
        <w:t>=</w:t>
      </w:r>
      <w:r>
        <w:rPr>
          <w:rStyle w:val="hl-value"/>
          <w:rFonts w:ascii="Consolas" w:hAnsi="Consolas"/>
          <w:color w:val="2A00FF"/>
          <w:sz w:val="23"/>
          <w:szCs w:val="23"/>
        </w:rPr>
        <w:t>"rabbitTemplate"</w:t>
      </w:r>
      <w:r>
        <w:rPr>
          <w:rStyle w:val="hl-tag"/>
          <w:rFonts w:ascii="Consolas" w:hAnsi="Consolas"/>
          <w:color w:val="3F7F7F"/>
          <w:sz w:val="23"/>
          <w:szCs w:val="23"/>
        </w:rPr>
        <w:t>/&gt;</w:t>
      </w:r>
    </w:p>
    <w:p w14:paraId="6416A43E" w14:textId="77777777" w:rsidR="00DC437E" w:rsidRDefault="00DC437E" w:rsidP="00DC437E">
      <w:pPr>
        <w:rPr>
          <w:rFonts w:ascii="Helvetica" w:hAnsi="Helvetica" w:cs="Helvetica"/>
          <w:color w:val="333333"/>
          <w:sz w:val="27"/>
          <w:szCs w:val="27"/>
        </w:rPr>
      </w:pPr>
      <w:r>
        <w:rPr>
          <w:rFonts w:ascii="Helvetica" w:hAnsi="Helvetica" w:cs="Helvetica"/>
          <w:color w:val="333333"/>
          <w:sz w:val="27"/>
          <w:szCs w:val="27"/>
        </w:rPr>
        <w:pict w14:anchorId="066F0336">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320"/>
        <w:gridCol w:w="1667"/>
        <w:gridCol w:w="3319"/>
      </w:tblGrid>
      <w:tr w:rsidR="00DC437E" w14:paraId="520D7BE8" w14:textId="77777777" w:rsidTr="00DC437E">
        <w:trPr>
          <w:tblCellSpacing w:w="15" w:type="dxa"/>
        </w:trPr>
        <w:tc>
          <w:tcPr>
            <w:tcW w:w="2000" w:type="pct"/>
            <w:tcMar>
              <w:top w:w="90" w:type="dxa"/>
              <w:left w:w="195" w:type="dxa"/>
              <w:bottom w:w="90" w:type="dxa"/>
              <w:right w:w="195" w:type="dxa"/>
            </w:tcMar>
            <w:vAlign w:val="center"/>
            <w:hideMark/>
          </w:tcPr>
          <w:p w14:paraId="53A7DB47" w14:textId="77777777" w:rsidR="00DC437E" w:rsidRDefault="00DC437E">
            <w:pPr>
              <w:rPr>
                <w:rFonts w:ascii="宋体" w:hAnsi="宋体" w:cs="宋体"/>
                <w:sz w:val="24"/>
                <w:szCs w:val="24"/>
              </w:rPr>
            </w:pPr>
            <w:hyperlink r:id="rId7" w:history="1">
              <w:r>
                <w:rPr>
                  <w:rStyle w:val="a3"/>
                  <w:color w:val="4183C4"/>
                  <w:u w:val="none"/>
                </w:rPr>
                <w:t>Prev</w:t>
              </w:r>
            </w:hyperlink>
            <w:r>
              <w:t> </w:t>
            </w:r>
          </w:p>
        </w:tc>
        <w:tc>
          <w:tcPr>
            <w:tcW w:w="1000" w:type="pct"/>
            <w:tcMar>
              <w:top w:w="90" w:type="dxa"/>
              <w:left w:w="195" w:type="dxa"/>
              <w:bottom w:w="90" w:type="dxa"/>
              <w:right w:w="195" w:type="dxa"/>
            </w:tcMar>
            <w:vAlign w:val="center"/>
            <w:hideMark/>
          </w:tcPr>
          <w:p w14:paraId="69941D30" w14:textId="77777777" w:rsidR="00DC437E" w:rsidRDefault="00DC437E">
            <w:pPr>
              <w:jc w:val="center"/>
            </w:pPr>
            <w:r>
              <w:t> </w:t>
            </w:r>
          </w:p>
        </w:tc>
        <w:tc>
          <w:tcPr>
            <w:tcW w:w="2000" w:type="pct"/>
            <w:tcMar>
              <w:top w:w="90" w:type="dxa"/>
              <w:left w:w="195" w:type="dxa"/>
              <w:bottom w:w="90" w:type="dxa"/>
              <w:right w:w="195" w:type="dxa"/>
            </w:tcMar>
            <w:vAlign w:val="center"/>
            <w:hideMark/>
          </w:tcPr>
          <w:p w14:paraId="7230B7F1" w14:textId="77777777" w:rsidR="00DC437E" w:rsidRDefault="00DC437E">
            <w:pPr>
              <w:jc w:val="right"/>
            </w:pPr>
            <w:r>
              <w:t> </w:t>
            </w:r>
            <w:hyperlink r:id="rId8" w:history="1">
              <w:r>
                <w:rPr>
                  <w:rStyle w:val="a3"/>
                  <w:color w:val="4183C4"/>
                  <w:u w:val="none"/>
                </w:rPr>
                <w:t>Next</w:t>
              </w:r>
            </w:hyperlink>
          </w:p>
        </w:tc>
      </w:tr>
      <w:tr w:rsidR="00DC437E" w14:paraId="3538669B" w14:textId="77777777" w:rsidTr="00DC437E">
        <w:trPr>
          <w:tblCellSpacing w:w="15" w:type="dxa"/>
        </w:trPr>
        <w:tc>
          <w:tcPr>
            <w:tcW w:w="2000" w:type="pct"/>
            <w:shd w:val="clear" w:color="auto" w:fill="F8F8F8"/>
            <w:tcMar>
              <w:top w:w="90" w:type="dxa"/>
              <w:left w:w="195" w:type="dxa"/>
              <w:bottom w:w="90" w:type="dxa"/>
              <w:right w:w="195" w:type="dxa"/>
            </w:tcMar>
            <w:hideMark/>
          </w:tcPr>
          <w:p w14:paraId="6A5747B9" w14:textId="77777777" w:rsidR="00DC437E" w:rsidRDefault="00DC437E">
            <w:pPr>
              <w:jc w:val="left"/>
            </w:pPr>
            <w:r>
              <w:t>3. Reference </w:t>
            </w:r>
          </w:p>
        </w:tc>
        <w:tc>
          <w:tcPr>
            <w:tcW w:w="1000" w:type="pct"/>
            <w:shd w:val="clear" w:color="auto" w:fill="F8F8F8"/>
            <w:tcMar>
              <w:top w:w="90" w:type="dxa"/>
              <w:left w:w="195" w:type="dxa"/>
              <w:bottom w:w="90" w:type="dxa"/>
              <w:right w:w="195" w:type="dxa"/>
            </w:tcMar>
            <w:vAlign w:val="center"/>
            <w:hideMark/>
          </w:tcPr>
          <w:p w14:paraId="3167793F" w14:textId="77777777" w:rsidR="00DC437E" w:rsidRDefault="00DC437E">
            <w:pPr>
              <w:jc w:val="center"/>
            </w:pPr>
            <w:hyperlink r:id="rId9" w:history="1">
              <w:r>
                <w:rPr>
                  <w:rStyle w:val="a3"/>
                  <w:color w:val="4183C4"/>
                  <w:u w:val="none"/>
                </w:rPr>
                <w:t>Home</w:t>
              </w:r>
            </w:hyperlink>
          </w:p>
        </w:tc>
        <w:tc>
          <w:tcPr>
            <w:tcW w:w="2000" w:type="pct"/>
            <w:shd w:val="clear" w:color="auto" w:fill="F8F8F8"/>
            <w:tcMar>
              <w:top w:w="90" w:type="dxa"/>
              <w:left w:w="195" w:type="dxa"/>
              <w:bottom w:w="90" w:type="dxa"/>
              <w:right w:w="195" w:type="dxa"/>
            </w:tcMar>
            <w:hideMark/>
          </w:tcPr>
          <w:p w14:paraId="69A33515" w14:textId="77777777" w:rsidR="00DC437E" w:rsidRDefault="00DC437E">
            <w:pPr>
              <w:jc w:val="right"/>
            </w:pPr>
            <w:r>
              <w:t> 5. Other Resources</w:t>
            </w:r>
          </w:p>
        </w:tc>
      </w:tr>
    </w:tbl>
    <w:p w14:paraId="1063255F" w14:textId="77777777" w:rsidR="00B55B3B" w:rsidRPr="00DC437E" w:rsidRDefault="00B55B3B" w:rsidP="00DC437E">
      <w:bookmarkStart w:id="7" w:name="_GoBack"/>
      <w:bookmarkEnd w:id="7"/>
    </w:p>
    <w:sectPr w:rsidR="00B55B3B" w:rsidRPr="00DC4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10"/>
    <w:rsid w:val="009C2110"/>
    <w:rsid w:val="00B55B3B"/>
    <w:rsid w:val="00B94688"/>
    <w:rsid w:val="00DC4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58FE0-62FE-41A7-9B80-AE865DB1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46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C43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C43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688"/>
    <w:rPr>
      <w:rFonts w:ascii="宋体" w:eastAsia="宋体" w:hAnsi="宋体" w:cs="宋体"/>
      <w:b/>
      <w:bCs/>
      <w:kern w:val="36"/>
      <w:sz w:val="48"/>
      <w:szCs w:val="48"/>
    </w:rPr>
  </w:style>
  <w:style w:type="character" w:styleId="a3">
    <w:name w:val="Hyperlink"/>
    <w:basedOn w:val="a0"/>
    <w:uiPriority w:val="99"/>
    <w:semiHidden/>
    <w:unhideWhenUsed/>
    <w:rsid w:val="00B94688"/>
    <w:rPr>
      <w:color w:val="0000FF"/>
      <w:u w:val="single"/>
    </w:rPr>
  </w:style>
  <w:style w:type="paragraph" w:styleId="a4">
    <w:name w:val="Normal (Web)"/>
    <w:basedOn w:val="a"/>
    <w:uiPriority w:val="99"/>
    <w:semiHidden/>
    <w:unhideWhenUsed/>
    <w:rsid w:val="00B9468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DC437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C437E"/>
    <w:rPr>
      <w:b/>
      <w:bCs/>
      <w:sz w:val="32"/>
      <w:szCs w:val="32"/>
    </w:rPr>
  </w:style>
  <w:style w:type="paragraph" w:styleId="HTML">
    <w:name w:val="HTML Preformatted"/>
    <w:basedOn w:val="a"/>
    <w:link w:val="HTML0"/>
    <w:uiPriority w:val="99"/>
    <w:semiHidden/>
    <w:unhideWhenUsed/>
    <w:rsid w:val="00DC43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C437E"/>
    <w:rPr>
      <w:rFonts w:ascii="宋体" w:eastAsia="宋体" w:hAnsi="宋体" w:cs="宋体"/>
      <w:kern w:val="0"/>
      <w:sz w:val="24"/>
      <w:szCs w:val="24"/>
    </w:rPr>
  </w:style>
  <w:style w:type="character" w:customStyle="1" w:styleId="hl-tag">
    <w:name w:val="hl-tag"/>
    <w:basedOn w:val="a0"/>
    <w:rsid w:val="00DC437E"/>
  </w:style>
  <w:style w:type="character" w:customStyle="1" w:styleId="hl-attribute">
    <w:name w:val="hl-attribute"/>
    <w:basedOn w:val="a0"/>
    <w:rsid w:val="00DC437E"/>
  </w:style>
  <w:style w:type="character" w:customStyle="1" w:styleId="hl-value">
    <w:name w:val="hl-value"/>
    <w:basedOn w:val="a0"/>
    <w:rsid w:val="00DC437E"/>
  </w:style>
  <w:style w:type="character" w:styleId="a5">
    <w:name w:val="Emphasis"/>
    <w:basedOn w:val="a0"/>
    <w:uiPriority w:val="20"/>
    <w:qFormat/>
    <w:rsid w:val="00DC43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636372">
      <w:bodyDiv w:val="1"/>
      <w:marLeft w:val="0"/>
      <w:marRight w:val="0"/>
      <w:marTop w:val="0"/>
      <w:marBottom w:val="0"/>
      <w:divBdr>
        <w:top w:val="none" w:sz="0" w:space="0" w:color="auto"/>
        <w:left w:val="none" w:sz="0" w:space="0" w:color="auto"/>
        <w:bottom w:val="none" w:sz="0" w:space="0" w:color="auto"/>
        <w:right w:val="none" w:sz="0" w:space="0" w:color="auto"/>
      </w:divBdr>
      <w:divsChild>
        <w:div w:id="1593009915">
          <w:marLeft w:val="0"/>
          <w:marRight w:val="0"/>
          <w:marTop w:val="0"/>
          <w:marBottom w:val="0"/>
          <w:divBdr>
            <w:top w:val="none" w:sz="0" w:space="0" w:color="auto"/>
            <w:left w:val="none" w:sz="0" w:space="0" w:color="auto"/>
            <w:bottom w:val="single" w:sz="6" w:space="0" w:color="CCCCCC"/>
            <w:right w:val="none" w:sz="0" w:space="0" w:color="auto"/>
          </w:divBdr>
        </w:div>
        <w:div w:id="1349285209">
          <w:marLeft w:val="0"/>
          <w:marRight w:val="0"/>
          <w:marTop w:val="0"/>
          <w:marBottom w:val="0"/>
          <w:divBdr>
            <w:top w:val="none" w:sz="0" w:space="0" w:color="auto"/>
            <w:left w:val="none" w:sz="0" w:space="0" w:color="auto"/>
            <w:bottom w:val="none" w:sz="0" w:space="0" w:color="auto"/>
            <w:right w:val="none" w:sz="0" w:space="0" w:color="auto"/>
          </w:divBdr>
          <w:divsChild>
            <w:div w:id="510527614">
              <w:marLeft w:val="0"/>
              <w:marRight w:val="0"/>
              <w:marTop w:val="0"/>
              <w:marBottom w:val="0"/>
              <w:divBdr>
                <w:top w:val="none" w:sz="0" w:space="0" w:color="auto"/>
                <w:left w:val="none" w:sz="0" w:space="0" w:color="auto"/>
                <w:bottom w:val="none" w:sz="0" w:space="0" w:color="auto"/>
                <w:right w:val="none" w:sz="0" w:space="0" w:color="auto"/>
              </w:divBdr>
              <w:divsChild>
                <w:div w:id="2021201772">
                  <w:marLeft w:val="0"/>
                  <w:marRight w:val="0"/>
                  <w:marTop w:val="0"/>
                  <w:marBottom w:val="0"/>
                  <w:divBdr>
                    <w:top w:val="none" w:sz="0" w:space="0" w:color="auto"/>
                    <w:left w:val="none" w:sz="0" w:space="0" w:color="auto"/>
                    <w:bottom w:val="none" w:sz="0" w:space="0" w:color="auto"/>
                    <w:right w:val="none" w:sz="0" w:space="0" w:color="auto"/>
                  </w:divBdr>
                  <w:divsChild>
                    <w:div w:id="15431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9200">
          <w:marLeft w:val="0"/>
          <w:marRight w:val="0"/>
          <w:marTop w:val="0"/>
          <w:marBottom w:val="0"/>
          <w:divBdr>
            <w:top w:val="single" w:sz="6" w:space="0" w:color="CCCCCC"/>
            <w:left w:val="none" w:sz="0" w:space="0" w:color="auto"/>
            <w:bottom w:val="none" w:sz="0" w:space="0" w:color="auto"/>
            <w:right w:val="none" w:sz="0" w:space="0" w:color="auto"/>
          </w:divBdr>
        </w:div>
      </w:divsChild>
    </w:div>
    <w:div w:id="1934237647">
      <w:bodyDiv w:val="1"/>
      <w:marLeft w:val="0"/>
      <w:marRight w:val="0"/>
      <w:marTop w:val="0"/>
      <w:marBottom w:val="0"/>
      <w:divBdr>
        <w:top w:val="none" w:sz="0" w:space="0" w:color="auto"/>
        <w:left w:val="none" w:sz="0" w:space="0" w:color="auto"/>
        <w:bottom w:val="none" w:sz="0" w:space="0" w:color="auto"/>
        <w:right w:val="none" w:sz="0" w:space="0" w:color="auto"/>
      </w:divBdr>
      <w:divsChild>
        <w:div w:id="1052270874">
          <w:marLeft w:val="0"/>
          <w:marRight w:val="0"/>
          <w:marTop w:val="0"/>
          <w:marBottom w:val="0"/>
          <w:divBdr>
            <w:top w:val="none" w:sz="0" w:space="0" w:color="auto"/>
            <w:left w:val="none" w:sz="0" w:space="0" w:color="auto"/>
            <w:bottom w:val="single" w:sz="6" w:space="0" w:color="CCCCCC"/>
            <w:right w:val="none" w:sz="0" w:space="0" w:color="auto"/>
          </w:divBdr>
        </w:div>
        <w:div w:id="983923531">
          <w:marLeft w:val="0"/>
          <w:marRight w:val="0"/>
          <w:marTop w:val="0"/>
          <w:marBottom w:val="0"/>
          <w:divBdr>
            <w:top w:val="none" w:sz="0" w:space="0" w:color="auto"/>
            <w:left w:val="none" w:sz="0" w:space="0" w:color="auto"/>
            <w:bottom w:val="none" w:sz="0" w:space="0" w:color="auto"/>
            <w:right w:val="none" w:sz="0" w:space="0" w:color="auto"/>
          </w:divBdr>
          <w:divsChild>
            <w:div w:id="308168963">
              <w:marLeft w:val="0"/>
              <w:marRight w:val="0"/>
              <w:marTop w:val="0"/>
              <w:marBottom w:val="0"/>
              <w:divBdr>
                <w:top w:val="none" w:sz="0" w:space="0" w:color="auto"/>
                <w:left w:val="none" w:sz="0" w:space="0" w:color="auto"/>
                <w:bottom w:val="none" w:sz="0" w:space="0" w:color="auto"/>
                <w:right w:val="none" w:sz="0" w:space="0" w:color="auto"/>
              </w:divBdr>
              <w:divsChild>
                <w:div w:id="2027441114">
                  <w:marLeft w:val="0"/>
                  <w:marRight w:val="0"/>
                  <w:marTop w:val="0"/>
                  <w:marBottom w:val="0"/>
                  <w:divBdr>
                    <w:top w:val="none" w:sz="0" w:space="0" w:color="auto"/>
                    <w:left w:val="none" w:sz="0" w:space="0" w:color="auto"/>
                    <w:bottom w:val="none" w:sz="0" w:space="0" w:color="auto"/>
                    <w:right w:val="none" w:sz="0" w:space="0" w:color="auto"/>
                  </w:divBdr>
                  <w:divsChild>
                    <w:div w:id="13447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9379">
              <w:marLeft w:val="0"/>
              <w:marRight w:val="0"/>
              <w:marTop w:val="0"/>
              <w:marBottom w:val="0"/>
              <w:divBdr>
                <w:top w:val="none" w:sz="0" w:space="0" w:color="auto"/>
                <w:left w:val="none" w:sz="0" w:space="0" w:color="auto"/>
                <w:bottom w:val="none" w:sz="0" w:space="0" w:color="auto"/>
                <w:right w:val="none" w:sz="0" w:space="0" w:color="auto"/>
              </w:divBdr>
              <w:divsChild>
                <w:div w:id="1770197715">
                  <w:marLeft w:val="0"/>
                  <w:marRight w:val="0"/>
                  <w:marTop w:val="0"/>
                  <w:marBottom w:val="0"/>
                  <w:divBdr>
                    <w:top w:val="none" w:sz="0" w:space="0" w:color="auto"/>
                    <w:left w:val="none" w:sz="0" w:space="0" w:color="auto"/>
                    <w:bottom w:val="none" w:sz="0" w:space="0" w:color="auto"/>
                    <w:right w:val="none" w:sz="0" w:space="0" w:color="auto"/>
                  </w:divBdr>
                  <w:divsChild>
                    <w:div w:id="88893246">
                      <w:marLeft w:val="0"/>
                      <w:marRight w:val="0"/>
                      <w:marTop w:val="0"/>
                      <w:marBottom w:val="0"/>
                      <w:divBdr>
                        <w:top w:val="none" w:sz="0" w:space="0" w:color="auto"/>
                        <w:left w:val="none" w:sz="0" w:space="0" w:color="auto"/>
                        <w:bottom w:val="none" w:sz="0" w:space="0" w:color="auto"/>
                        <w:right w:val="none" w:sz="0" w:space="0" w:color="auto"/>
                      </w:divBdr>
                      <w:divsChild>
                        <w:div w:id="2394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9397">
                  <w:marLeft w:val="0"/>
                  <w:marRight w:val="0"/>
                  <w:marTop w:val="0"/>
                  <w:marBottom w:val="0"/>
                  <w:divBdr>
                    <w:top w:val="none" w:sz="0" w:space="0" w:color="auto"/>
                    <w:left w:val="none" w:sz="0" w:space="0" w:color="auto"/>
                    <w:bottom w:val="none" w:sz="0" w:space="0" w:color="auto"/>
                    <w:right w:val="none" w:sz="0" w:space="0" w:color="auto"/>
                  </w:divBdr>
                  <w:divsChild>
                    <w:div w:id="1008412961">
                      <w:marLeft w:val="0"/>
                      <w:marRight w:val="0"/>
                      <w:marTop w:val="0"/>
                      <w:marBottom w:val="0"/>
                      <w:divBdr>
                        <w:top w:val="none" w:sz="0" w:space="0" w:color="auto"/>
                        <w:left w:val="none" w:sz="0" w:space="0" w:color="auto"/>
                        <w:bottom w:val="none" w:sz="0" w:space="0" w:color="auto"/>
                        <w:right w:val="none" w:sz="0" w:space="0" w:color="auto"/>
                      </w:divBdr>
                      <w:divsChild>
                        <w:div w:id="575280965">
                          <w:marLeft w:val="0"/>
                          <w:marRight w:val="0"/>
                          <w:marTop w:val="0"/>
                          <w:marBottom w:val="0"/>
                          <w:divBdr>
                            <w:top w:val="none" w:sz="0" w:space="0" w:color="auto"/>
                            <w:left w:val="none" w:sz="0" w:space="0" w:color="auto"/>
                            <w:bottom w:val="none" w:sz="0" w:space="0" w:color="auto"/>
                            <w:right w:val="none" w:sz="0" w:space="0" w:color="auto"/>
                          </w:divBdr>
                          <w:divsChild>
                            <w:div w:id="7471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4403">
                  <w:marLeft w:val="0"/>
                  <w:marRight w:val="0"/>
                  <w:marTop w:val="0"/>
                  <w:marBottom w:val="0"/>
                  <w:divBdr>
                    <w:top w:val="none" w:sz="0" w:space="0" w:color="auto"/>
                    <w:left w:val="none" w:sz="0" w:space="0" w:color="auto"/>
                    <w:bottom w:val="none" w:sz="0" w:space="0" w:color="auto"/>
                    <w:right w:val="none" w:sz="0" w:space="0" w:color="auto"/>
                  </w:divBdr>
                  <w:divsChild>
                    <w:div w:id="2034916088">
                      <w:marLeft w:val="0"/>
                      <w:marRight w:val="0"/>
                      <w:marTop w:val="0"/>
                      <w:marBottom w:val="0"/>
                      <w:divBdr>
                        <w:top w:val="none" w:sz="0" w:space="0" w:color="auto"/>
                        <w:left w:val="none" w:sz="0" w:space="0" w:color="auto"/>
                        <w:bottom w:val="none" w:sz="0" w:space="0" w:color="auto"/>
                        <w:right w:val="none" w:sz="0" w:space="0" w:color="auto"/>
                      </w:divBdr>
                      <w:divsChild>
                        <w:div w:id="1322807070">
                          <w:marLeft w:val="0"/>
                          <w:marRight w:val="0"/>
                          <w:marTop w:val="0"/>
                          <w:marBottom w:val="0"/>
                          <w:divBdr>
                            <w:top w:val="none" w:sz="0" w:space="0" w:color="auto"/>
                            <w:left w:val="none" w:sz="0" w:space="0" w:color="auto"/>
                            <w:bottom w:val="none" w:sz="0" w:space="0" w:color="auto"/>
                            <w:right w:val="none" w:sz="0" w:space="0" w:color="auto"/>
                          </w:divBdr>
                          <w:divsChild>
                            <w:div w:id="15249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0076">
                  <w:marLeft w:val="0"/>
                  <w:marRight w:val="0"/>
                  <w:marTop w:val="0"/>
                  <w:marBottom w:val="0"/>
                  <w:divBdr>
                    <w:top w:val="none" w:sz="0" w:space="0" w:color="auto"/>
                    <w:left w:val="none" w:sz="0" w:space="0" w:color="auto"/>
                    <w:bottom w:val="none" w:sz="0" w:space="0" w:color="auto"/>
                    <w:right w:val="none" w:sz="0" w:space="0" w:color="auto"/>
                  </w:divBdr>
                  <w:divsChild>
                    <w:div w:id="792558224">
                      <w:marLeft w:val="0"/>
                      <w:marRight w:val="0"/>
                      <w:marTop w:val="0"/>
                      <w:marBottom w:val="0"/>
                      <w:divBdr>
                        <w:top w:val="none" w:sz="0" w:space="0" w:color="auto"/>
                        <w:left w:val="none" w:sz="0" w:space="0" w:color="auto"/>
                        <w:bottom w:val="none" w:sz="0" w:space="0" w:color="auto"/>
                        <w:right w:val="none" w:sz="0" w:space="0" w:color="auto"/>
                      </w:divBdr>
                      <w:divsChild>
                        <w:div w:id="1236280784">
                          <w:marLeft w:val="0"/>
                          <w:marRight w:val="0"/>
                          <w:marTop w:val="0"/>
                          <w:marBottom w:val="0"/>
                          <w:divBdr>
                            <w:top w:val="none" w:sz="0" w:space="0" w:color="auto"/>
                            <w:left w:val="none" w:sz="0" w:space="0" w:color="auto"/>
                            <w:bottom w:val="none" w:sz="0" w:space="0" w:color="auto"/>
                            <w:right w:val="none" w:sz="0" w:space="0" w:color="auto"/>
                          </w:divBdr>
                          <w:divsChild>
                            <w:div w:id="14585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4004">
                  <w:marLeft w:val="0"/>
                  <w:marRight w:val="0"/>
                  <w:marTop w:val="0"/>
                  <w:marBottom w:val="0"/>
                  <w:divBdr>
                    <w:top w:val="none" w:sz="0" w:space="0" w:color="auto"/>
                    <w:left w:val="none" w:sz="0" w:space="0" w:color="auto"/>
                    <w:bottom w:val="none" w:sz="0" w:space="0" w:color="auto"/>
                    <w:right w:val="none" w:sz="0" w:space="0" w:color="auto"/>
                  </w:divBdr>
                  <w:divsChild>
                    <w:div w:id="498279037">
                      <w:marLeft w:val="0"/>
                      <w:marRight w:val="0"/>
                      <w:marTop w:val="0"/>
                      <w:marBottom w:val="0"/>
                      <w:divBdr>
                        <w:top w:val="none" w:sz="0" w:space="0" w:color="auto"/>
                        <w:left w:val="none" w:sz="0" w:space="0" w:color="auto"/>
                        <w:bottom w:val="none" w:sz="0" w:space="0" w:color="auto"/>
                        <w:right w:val="none" w:sz="0" w:space="0" w:color="auto"/>
                      </w:divBdr>
                      <w:divsChild>
                        <w:div w:id="2103448258">
                          <w:marLeft w:val="0"/>
                          <w:marRight w:val="0"/>
                          <w:marTop w:val="0"/>
                          <w:marBottom w:val="0"/>
                          <w:divBdr>
                            <w:top w:val="none" w:sz="0" w:space="0" w:color="auto"/>
                            <w:left w:val="none" w:sz="0" w:space="0" w:color="auto"/>
                            <w:bottom w:val="none" w:sz="0" w:space="0" w:color="auto"/>
                            <w:right w:val="none" w:sz="0" w:space="0" w:color="auto"/>
                          </w:divBdr>
                          <w:divsChild>
                            <w:div w:id="9116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972">
                  <w:marLeft w:val="0"/>
                  <w:marRight w:val="0"/>
                  <w:marTop w:val="0"/>
                  <w:marBottom w:val="0"/>
                  <w:divBdr>
                    <w:top w:val="none" w:sz="0" w:space="0" w:color="auto"/>
                    <w:left w:val="none" w:sz="0" w:space="0" w:color="auto"/>
                    <w:bottom w:val="none" w:sz="0" w:space="0" w:color="auto"/>
                    <w:right w:val="none" w:sz="0" w:space="0" w:color="auto"/>
                  </w:divBdr>
                  <w:divsChild>
                    <w:div w:id="1791322104">
                      <w:marLeft w:val="0"/>
                      <w:marRight w:val="0"/>
                      <w:marTop w:val="0"/>
                      <w:marBottom w:val="0"/>
                      <w:divBdr>
                        <w:top w:val="none" w:sz="0" w:space="0" w:color="auto"/>
                        <w:left w:val="none" w:sz="0" w:space="0" w:color="auto"/>
                        <w:bottom w:val="none" w:sz="0" w:space="0" w:color="auto"/>
                        <w:right w:val="none" w:sz="0" w:space="0" w:color="auto"/>
                      </w:divBdr>
                      <w:divsChild>
                        <w:div w:id="708072587">
                          <w:marLeft w:val="0"/>
                          <w:marRight w:val="0"/>
                          <w:marTop w:val="0"/>
                          <w:marBottom w:val="0"/>
                          <w:divBdr>
                            <w:top w:val="none" w:sz="0" w:space="0" w:color="auto"/>
                            <w:left w:val="none" w:sz="0" w:space="0" w:color="auto"/>
                            <w:bottom w:val="none" w:sz="0" w:space="0" w:color="auto"/>
                            <w:right w:val="none" w:sz="0" w:space="0" w:color="auto"/>
                          </w:divBdr>
                          <w:divsChild>
                            <w:div w:id="1256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699883">
          <w:marLeft w:val="0"/>
          <w:marRight w:val="0"/>
          <w:marTop w:val="0"/>
          <w:marBottom w:val="0"/>
          <w:divBdr>
            <w:top w:val="single" w:sz="6" w:space="0"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amqp/docs/2.0.2.RELEASE/reference/html/resources.html" TargetMode="External"/><Relationship Id="rId3" Type="http://schemas.openxmlformats.org/officeDocument/2006/relationships/webSettings" Target="webSettings.xml"/><Relationship Id="rId7" Type="http://schemas.openxmlformats.org/officeDocument/2006/relationships/hyperlink" Target="https://docs.spring.io/spring-amqp/docs/2.0.2.RELEASE/reference/html/_referen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ringsource.org/spring-integration" TargetMode="External"/><Relationship Id="rId11" Type="http://schemas.openxmlformats.org/officeDocument/2006/relationships/theme" Target="theme/theme1.xml"/><Relationship Id="rId5" Type="http://schemas.openxmlformats.org/officeDocument/2006/relationships/hyperlink" Target="https://docs.spring.io/spring-amqp/docs/2.0.2.RELEASE/reference/html/resources.html" TargetMode="External"/><Relationship Id="rId10" Type="http://schemas.openxmlformats.org/officeDocument/2006/relationships/fontTable" Target="fontTable.xml"/><Relationship Id="rId4" Type="http://schemas.openxmlformats.org/officeDocument/2006/relationships/hyperlink" Target="https://docs.spring.io/spring-amqp/docs/2.0.2.RELEASE/reference/html/_reference.html" TargetMode="External"/><Relationship Id="rId9" Type="http://schemas.openxmlformats.org/officeDocument/2006/relationships/hyperlink" Target="https://docs.spring.io/spring-amqp/docs/2.0.2.RELEASE/reference/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2018-02-12T02:39:00Z</dcterms:created>
  <dcterms:modified xsi:type="dcterms:W3CDTF">2018-02-12T02:42:00Z</dcterms:modified>
</cp:coreProperties>
</file>