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1682"/>
        <w:gridCol w:w="4942"/>
        <w:gridCol w:w="1682"/>
      </w:tblGrid>
      <w:tr w:rsidR="00987EC3" w14:paraId="025EBEA2" w14:textId="77777777" w:rsidTr="00987EC3">
        <w:trPr>
          <w:tblCellSpacing w:w="15" w:type="dxa"/>
        </w:trPr>
        <w:tc>
          <w:tcPr>
            <w:tcW w:w="0" w:type="auto"/>
            <w:gridSpan w:val="3"/>
            <w:tcMar>
              <w:top w:w="90" w:type="dxa"/>
              <w:left w:w="195" w:type="dxa"/>
              <w:bottom w:w="90" w:type="dxa"/>
              <w:right w:w="195" w:type="dxa"/>
            </w:tcMar>
            <w:vAlign w:val="center"/>
            <w:hideMark/>
          </w:tcPr>
          <w:p w14:paraId="121673A2" w14:textId="77777777" w:rsidR="00987EC3" w:rsidRDefault="00987EC3">
            <w:pPr>
              <w:widowControl/>
              <w:jc w:val="center"/>
              <w:rPr>
                <w:b/>
                <w:bCs/>
              </w:rPr>
            </w:pPr>
            <w:r>
              <w:rPr>
                <w:b/>
                <w:bCs/>
              </w:rPr>
              <w:t>5. Other Resources</w:t>
            </w:r>
          </w:p>
        </w:tc>
      </w:tr>
      <w:tr w:rsidR="00987EC3" w14:paraId="78CCC34D" w14:textId="77777777" w:rsidTr="00987EC3">
        <w:trPr>
          <w:tblCellSpacing w:w="15" w:type="dxa"/>
        </w:trPr>
        <w:tc>
          <w:tcPr>
            <w:tcW w:w="1000" w:type="pct"/>
            <w:shd w:val="clear" w:color="auto" w:fill="F8F8F8"/>
            <w:tcMar>
              <w:top w:w="90" w:type="dxa"/>
              <w:left w:w="195" w:type="dxa"/>
              <w:bottom w:w="90" w:type="dxa"/>
              <w:right w:w="195" w:type="dxa"/>
            </w:tcMar>
            <w:vAlign w:val="center"/>
            <w:hideMark/>
          </w:tcPr>
          <w:p w14:paraId="07C409D9" w14:textId="77777777" w:rsidR="00987EC3" w:rsidRDefault="00987EC3">
            <w:pPr>
              <w:jc w:val="left"/>
            </w:pPr>
            <w:hyperlink r:id="rId4" w:history="1">
              <w:r>
                <w:rPr>
                  <w:rStyle w:val="a3"/>
                  <w:color w:val="4183C4"/>
                  <w:u w:val="none"/>
                </w:rPr>
                <w:t>Prev</w:t>
              </w:r>
            </w:hyperlink>
            <w:r>
              <w:t> </w:t>
            </w:r>
          </w:p>
        </w:tc>
        <w:tc>
          <w:tcPr>
            <w:tcW w:w="3000" w:type="pct"/>
            <w:shd w:val="clear" w:color="auto" w:fill="F8F8F8"/>
            <w:tcMar>
              <w:top w:w="90" w:type="dxa"/>
              <w:left w:w="195" w:type="dxa"/>
              <w:bottom w:w="90" w:type="dxa"/>
              <w:right w:w="195" w:type="dxa"/>
            </w:tcMar>
            <w:vAlign w:val="center"/>
            <w:hideMark/>
          </w:tcPr>
          <w:p w14:paraId="06BA77C5" w14:textId="77777777" w:rsidR="00987EC3" w:rsidRDefault="00987EC3">
            <w:pPr>
              <w:jc w:val="center"/>
              <w:rPr>
                <w:b/>
                <w:bCs/>
              </w:rPr>
            </w:pPr>
            <w:r>
              <w:rPr>
                <w:b/>
                <w:bCs/>
              </w:rPr>
              <w:t> </w:t>
            </w:r>
          </w:p>
        </w:tc>
        <w:tc>
          <w:tcPr>
            <w:tcW w:w="1000" w:type="pct"/>
            <w:shd w:val="clear" w:color="auto" w:fill="F8F8F8"/>
            <w:tcMar>
              <w:top w:w="90" w:type="dxa"/>
              <w:left w:w="195" w:type="dxa"/>
              <w:bottom w:w="90" w:type="dxa"/>
              <w:right w:w="195" w:type="dxa"/>
            </w:tcMar>
            <w:vAlign w:val="center"/>
            <w:hideMark/>
          </w:tcPr>
          <w:p w14:paraId="3A9171EF" w14:textId="77777777" w:rsidR="00987EC3" w:rsidRDefault="00987EC3">
            <w:pPr>
              <w:jc w:val="right"/>
            </w:pPr>
            <w:r>
              <w:t> </w:t>
            </w:r>
            <w:hyperlink r:id="rId5" w:history="1">
              <w:r>
                <w:rPr>
                  <w:rStyle w:val="a3"/>
                  <w:color w:val="4183C4"/>
                  <w:u w:val="none"/>
                </w:rPr>
                <w:t>Next</w:t>
              </w:r>
            </w:hyperlink>
          </w:p>
        </w:tc>
      </w:tr>
    </w:tbl>
    <w:p w14:paraId="626D6658" w14:textId="77777777" w:rsidR="00987EC3" w:rsidRDefault="00987EC3" w:rsidP="00987EC3">
      <w:pPr>
        <w:jc w:val="left"/>
        <w:rPr>
          <w:rFonts w:ascii="Helvetica" w:hAnsi="Helvetica" w:cs="Helvetica"/>
          <w:color w:val="333333"/>
          <w:sz w:val="27"/>
          <w:szCs w:val="27"/>
        </w:rPr>
      </w:pPr>
      <w:r>
        <w:rPr>
          <w:rFonts w:ascii="Helvetica" w:hAnsi="Helvetica" w:cs="Helvetica"/>
          <w:color w:val="333333"/>
          <w:sz w:val="27"/>
          <w:szCs w:val="27"/>
        </w:rPr>
        <w:pict w14:anchorId="08C0BF30">
          <v:rect id="_x0000_i1029" style="width:0;height:1.5pt" o:hralign="center" o:hrstd="t" o:hr="t" fillcolor="#a0a0a0" stroked="f"/>
        </w:pict>
      </w:r>
    </w:p>
    <w:p w14:paraId="19FC2419" w14:textId="77777777" w:rsidR="00987EC3" w:rsidRDefault="00987EC3" w:rsidP="00987EC3">
      <w:pPr>
        <w:pStyle w:val="1"/>
        <w:spacing w:before="0" w:beforeAutospacing="0" w:after="450" w:afterAutospacing="0"/>
        <w:ind w:left="-240"/>
        <w:rPr>
          <w:rFonts w:ascii="Helvetica" w:hAnsi="Helvetica" w:cs="Helvetica"/>
          <w:color w:val="000000"/>
        </w:rPr>
      </w:pPr>
      <w:bookmarkStart w:id="0" w:name="resources"/>
      <w:bookmarkEnd w:id="0"/>
      <w:r>
        <w:rPr>
          <w:rFonts w:ascii="Helvetica" w:hAnsi="Helvetica" w:cs="Helvetica"/>
          <w:color w:val="000000"/>
        </w:rPr>
        <w:t>5. Other Resources</w:t>
      </w:r>
    </w:p>
    <w:p w14:paraId="79019CA9" w14:textId="77777777" w:rsidR="00987EC3" w:rsidRDefault="00987EC3" w:rsidP="00987EC3">
      <w:pPr>
        <w:pStyle w:val="a4"/>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this reference documentation, there exist a number of other resources that may help you learn about AMQP.</w:t>
      </w:r>
    </w:p>
    <w:p w14:paraId="4DE3E778" w14:textId="77777777" w:rsidR="00987EC3" w:rsidRDefault="00987EC3" w:rsidP="00987EC3">
      <w:pPr>
        <w:pStyle w:val="2"/>
        <w:spacing w:before="0" w:after="150"/>
        <w:ind w:left="-240"/>
        <w:rPr>
          <w:rFonts w:ascii="Helvetica" w:hAnsi="Helvetica" w:cs="Helvetica"/>
          <w:color w:val="000000"/>
          <w:sz w:val="36"/>
          <w:szCs w:val="36"/>
        </w:rPr>
      </w:pPr>
      <w:bookmarkStart w:id="1" w:name="further-reading"/>
      <w:bookmarkEnd w:id="1"/>
      <w:r>
        <w:rPr>
          <w:rFonts w:ascii="Helvetica" w:hAnsi="Helvetica" w:cs="Helvetica"/>
          <w:color w:val="000000"/>
        </w:rPr>
        <w:t>5.1 Further Reading</w:t>
      </w:r>
    </w:p>
    <w:p w14:paraId="3B33CBF9" w14:textId="77777777" w:rsidR="00987EC3" w:rsidRDefault="00987EC3" w:rsidP="00987EC3">
      <w:pPr>
        <w:pStyle w:val="a4"/>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those who are not familiar with AMQP, the </w:t>
      </w:r>
      <w:hyperlink r:id="rId6" w:tgtFrame="_top" w:history="1">
        <w:r>
          <w:rPr>
            <w:rStyle w:val="a3"/>
            <w:rFonts w:ascii="Helvetica" w:hAnsi="Helvetica" w:cs="Helvetica"/>
            <w:color w:val="4183C4"/>
            <w:sz w:val="27"/>
            <w:szCs w:val="27"/>
            <w:u w:val="none"/>
          </w:rPr>
          <w:t>specification</w:t>
        </w:r>
      </w:hyperlink>
      <w:r>
        <w:rPr>
          <w:rFonts w:ascii="Helvetica" w:hAnsi="Helvetica" w:cs="Helvetica"/>
          <w:color w:val="333333"/>
          <w:sz w:val="27"/>
          <w:szCs w:val="27"/>
        </w:rPr>
        <w:t> is actually quite readable. It is of course the authoritative source of information, and the Spring AMQP code should be very easy to understand for anyone who is familiar with the spec. Our current implementation of the RabbitMQ support is based on their 2.8.x version, and it officially supports AMQP 0.8 and 0.9.1. We recommend reading the 0.9.1 document.</w:t>
      </w:r>
    </w:p>
    <w:p w14:paraId="4D24E014" w14:textId="77777777" w:rsidR="00987EC3" w:rsidRDefault="00987EC3" w:rsidP="00987EC3">
      <w:pPr>
        <w:pStyle w:val="a4"/>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many great articles, presentations, and blogs available on the RabbitMQ </w:t>
      </w:r>
      <w:hyperlink r:id="rId7" w:tgtFrame="_top" w:history="1">
        <w:r>
          <w:rPr>
            <w:rStyle w:val="a3"/>
            <w:rFonts w:ascii="Helvetica" w:hAnsi="Helvetica" w:cs="Helvetica"/>
            <w:color w:val="4183C4"/>
            <w:sz w:val="27"/>
            <w:szCs w:val="27"/>
            <w:u w:val="none"/>
          </w:rPr>
          <w:t>Getting Started</w:t>
        </w:r>
      </w:hyperlink>
      <w:r>
        <w:rPr>
          <w:rFonts w:ascii="Helvetica" w:hAnsi="Helvetica" w:cs="Helvetica"/>
          <w:color w:val="333333"/>
          <w:sz w:val="27"/>
          <w:szCs w:val="27"/>
        </w:rPr>
        <w:t> page. Since that is currently the only supported implementation for Spring AMQP, we also recommend that as a general starting point for all broker-related concerns.</w:t>
      </w:r>
    </w:p>
    <w:p w14:paraId="1AB54A31" w14:textId="77777777" w:rsidR="00987EC3" w:rsidRDefault="00987EC3" w:rsidP="00987EC3">
      <w:pPr>
        <w:rPr>
          <w:rFonts w:ascii="Helvetica" w:hAnsi="Helvetica" w:cs="Helvetica"/>
          <w:color w:val="333333"/>
          <w:sz w:val="27"/>
          <w:szCs w:val="27"/>
        </w:rPr>
      </w:pPr>
      <w:r>
        <w:rPr>
          <w:rFonts w:ascii="Helvetica" w:hAnsi="Helvetica" w:cs="Helvetica"/>
          <w:color w:val="333333"/>
          <w:sz w:val="27"/>
          <w:szCs w:val="27"/>
        </w:rPr>
        <w:pict w14:anchorId="65734477">
          <v:rect id="_x0000_i103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footer"/>
      </w:tblPr>
      <w:tblGrid>
        <w:gridCol w:w="3320"/>
        <w:gridCol w:w="1667"/>
        <w:gridCol w:w="3319"/>
      </w:tblGrid>
      <w:tr w:rsidR="00987EC3" w14:paraId="78619ADE" w14:textId="77777777" w:rsidTr="00987EC3">
        <w:trPr>
          <w:tblCellSpacing w:w="15" w:type="dxa"/>
        </w:trPr>
        <w:tc>
          <w:tcPr>
            <w:tcW w:w="2000" w:type="pct"/>
            <w:tcMar>
              <w:top w:w="90" w:type="dxa"/>
              <w:left w:w="195" w:type="dxa"/>
              <w:bottom w:w="90" w:type="dxa"/>
              <w:right w:w="195" w:type="dxa"/>
            </w:tcMar>
            <w:vAlign w:val="center"/>
            <w:hideMark/>
          </w:tcPr>
          <w:p w14:paraId="37EBF4FF" w14:textId="77777777" w:rsidR="00987EC3" w:rsidRDefault="00987EC3">
            <w:pPr>
              <w:rPr>
                <w:rFonts w:ascii="宋体" w:hAnsi="宋体" w:cs="宋体"/>
                <w:sz w:val="24"/>
                <w:szCs w:val="24"/>
              </w:rPr>
            </w:pPr>
            <w:hyperlink r:id="rId8" w:history="1">
              <w:r>
                <w:rPr>
                  <w:rStyle w:val="a3"/>
                  <w:color w:val="4183C4"/>
                  <w:u w:val="none"/>
                </w:rPr>
                <w:t>Prev</w:t>
              </w:r>
            </w:hyperlink>
            <w:r>
              <w:t> </w:t>
            </w:r>
          </w:p>
        </w:tc>
        <w:tc>
          <w:tcPr>
            <w:tcW w:w="1000" w:type="pct"/>
            <w:tcMar>
              <w:top w:w="90" w:type="dxa"/>
              <w:left w:w="195" w:type="dxa"/>
              <w:bottom w:w="90" w:type="dxa"/>
              <w:right w:w="195" w:type="dxa"/>
            </w:tcMar>
            <w:vAlign w:val="center"/>
            <w:hideMark/>
          </w:tcPr>
          <w:p w14:paraId="7222A124" w14:textId="77777777" w:rsidR="00987EC3" w:rsidRDefault="00987EC3">
            <w:pPr>
              <w:jc w:val="center"/>
            </w:pPr>
            <w:r>
              <w:t> </w:t>
            </w:r>
          </w:p>
        </w:tc>
        <w:tc>
          <w:tcPr>
            <w:tcW w:w="2000" w:type="pct"/>
            <w:tcMar>
              <w:top w:w="90" w:type="dxa"/>
              <w:left w:w="195" w:type="dxa"/>
              <w:bottom w:w="90" w:type="dxa"/>
              <w:right w:w="195" w:type="dxa"/>
            </w:tcMar>
            <w:vAlign w:val="center"/>
            <w:hideMark/>
          </w:tcPr>
          <w:p w14:paraId="358CDF5C" w14:textId="77777777" w:rsidR="00987EC3" w:rsidRDefault="00987EC3">
            <w:pPr>
              <w:jc w:val="right"/>
            </w:pPr>
            <w:r>
              <w:t> </w:t>
            </w:r>
            <w:hyperlink r:id="rId9" w:history="1">
              <w:r>
                <w:rPr>
                  <w:rStyle w:val="a3"/>
                  <w:color w:val="4183C4"/>
                  <w:u w:val="none"/>
                </w:rPr>
                <w:t>Next</w:t>
              </w:r>
            </w:hyperlink>
          </w:p>
        </w:tc>
      </w:tr>
      <w:tr w:rsidR="00987EC3" w14:paraId="50DEF417" w14:textId="77777777" w:rsidTr="00987EC3">
        <w:trPr>
          <w:tblCellSpacing w:w="15" w:type="dxa"/>
        </w:trPr>
        <w:tc>
          <w:tcPr>
            <w:tcW w:w="2000" w:type="pct"/>
            <w:shd w:val="clear" w:color="auto" w:fill="F8F8F8"/>
            <w:tcMar>
              <w:top w:w="90" w:type="dxa"/>
              <w:left w:w="195" w:type="dxa"/>
              <w:bottom w:w="90" w:type="dxa"/>
              <w:right w:w="195" w:type="dxa"/>
            </w:tcMar>
            <w:hideMark/>
          </w:tcPr>
          <w:p w14:paraId="537F3DAB" w14:textId="77777777" w:rsidR="00987EC3" w:rsidRDefault="00987EC3">
            <w:pPr>
              <w:jc w:val="left"/>
            </w:pPr>
            <w:r>
              <w:t>4. Spring Integration - Reference </w:t>
            </w:r>
          </w:p>
        </w:tc>
        <w:tc>
          <w:tcPr>
            <w:tcW w:w="1000" w:type="pct"/>
            <w:shd w:val="clear" w:color="auto" w:fill="F8F8F8"/>
            <w:tcMar>
              <w:top w:w="90" w:type="dxa"/>
              <w:left w:w="195" w:type="dxa"/>
              <w:bottom w:w="90" w:type="dxa"/>
              <w:right w:w="195" w:type="dxa"/>
            </w:tcMar>
            <w:vAlign w:val="center"/>
            <w:hideMark/>
          </w:tcPr>
          <w:p w14:paraId="536DAF3F" w14:textId="77777777" w:rsidR="00987EC3" w:rsidRDefault="00987EC3">
            <w:pPr>
              <w:jc w:val="center"/>
            </w:pPr>
            <w:hyperlink r:id="rId10" w:history="1">
              <w:r>
                <w:rPr>
                  <w:rStyle w:val="a3"/>
                  <w:color w:val="4183C4"/>
                  <w:u w:val="none"/>
                </w:rPr>
                <w:t>Home</w:t>
              </w:r>
            </w:hyperlink>
          </w:p>
        </w:tc>
        <w:tc>
          <w:tcPr>
            <w:tcW w:w="2000" w:type="pct"/>
            <w:shd w:val="clear" w:color="auto" w:fill="F8F8F8"/>
            <w:tcMar>
              <w:top w:w="90" w:type="dxa"/>
              <w:left w:w="195" w:type="dxa"/>
              <w:bottom w:w="90" w:type="dxa"/>
              <w:right w:w="195" w:type="dxa"/>
            </w:tcMar>
            <w:hideMark/>
          </w:tcPr>
          <w:p w14:paraId="31E8F3D5" w14:textId="77777777" w:rsidR="00987EC3" w:rsidRDefault="00987EC3">
            <w:pPr>
              <w:jc w:val="right"/>
            </w:pPr>
            <w:r>
              <w:t> Appendix A. Change History</w:t>
            </w:r>
          </w:p>
        </w:tc>
      </w:tr>
    </w:tbl>
    <w:p w14:paraId="1063255F" w14:textId="77777777" w:rsidR="00B55B3B" w:rsidRPr="00987EC3" w:rsidRDefault="00B55B3B" w:rsidP="00987EC3">
      <w:bookmarkStart w:id="2" w:name="_GoBack"/>
      <w:bookmarkEnd w:id="2"/>
    </w:p>
    <w:sectPr w:rsidR="00B55B3B" w:rsidRPr="00987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10"/>
    <w:rsid w:val="00987EC3"/>
    <w:rsid w:val="009C2110"/>
    <w:rsid w:val="00B55B3B"/>
    <w:rsid w:val="00B94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58FE0-62FE-41A7-9B80-AE865DB1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946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87E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688"/>
    <w:rPr>
      <w:rFonts w:ascii="宋体" w:eastAsia="宋体" w:hAnsi="宋体" w:cs="宋体"/>
      <w:b/>
      <w:bCs/>
      <w:kern w:val="36"/>
      <w:sz w:val="48"/>
      <w:szCs w:val="48"/>
    </w:rPr>
  </w:style>
  <w:style w:type="character" w:styleId="a3">
    <w:name w:val="Hyperlink"/>
    <w:basedOn w:val="a0"/>
    <w:uiPriority w:val="99"/>
    <w:semiHidden/>
    <w:unhideWhenUsed/>
    <w:rsid w:val="00B94688"/>
    <w:rPr>
      <w:color w:val="0000FF"/>
      <w:u w:val="single"/>
    </w:rPr>
  </w:style>
  <w:style w:type="paragraph" w:styleId="a4">
    <w:name w:val="Normal (Web)"/>
    <w:basedOn w:val="a"/>
    <w:uiPriority w:val="99"/>
    <w:semiHidden/>
    <w:unhideWhenUsed/>
    <w:rsid w:val="00B94688"/>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987E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46203">
      <w:bodyDiv w:val="1"/>
      <w:marLeft w:val="0"/>
      <w:marRight w:val="0"/>
      <w:marTop w:val="0"/>
      <w:marBottom w:val="0"/>
      <w:divBdr>
        <w:top w:val="none" w:sz="0" w:space="0" w:color="auto"/>
        <w:left w:val="none" w:sz="0" w:space="0" w:color="auto"/>
        <w:bottom w:val="none" w:sz="0" w:space="0" w:color="auto"/>
        <w:right w:val="none" w:sz="0" w:space="0" w:color="auto"/>
      </w:divBdr>
      <w:divsChild>
        <w:div w:id="1880433163">
          <w:marLeft w:val="0"/>
          <w:marRight w:val="0"/>
          <w:marTop w:val="0"/>
          <w:marBottom w:val="0"/>
          <w:divBdr>
            <w:top w:val="none" w:sz="0" w:space="0" w:color="auto"/>
            <w:left w:val="none" w:sz="0" w:space="0" w:color="auto"/>
            <w:bottom w:val="single" w:sz="6" w:space="0" w:color="CCCCCC"/>
            <w:right w:val="none" w:sz="0" w:space="0" w:color="auto"/>
          </w:divBdr>
        </w:div>
        <w:div w:id="926617166">
          <w:marLeft w:val="0"/>
          <w:marRight w:val="0"/>
          <w:marTop w:val="0"/>
          <w:marBottom w:val="0"/>
          <w:divBdr>
            <w:top w:val="none" w:sz="0" w:space="0" w:color="auto"/>
            <w:left w:val="none" w:sz="0" w:space="0" w:color="auto"/>
            <w:bottom w:val="none" w:sz="0" w:space="0" w:color="auto"/>
            <w:right w:val="none" w:sz="0" w:space="0" w:color="auto"/>
          </w:divBdr>
          <w:divsChild>
            <w:div w:id="1680816668">
              <w:marLeft w:val="0"/>
              <w:marRight w:val="0"/>
              <w:marTop w:val="0"/>
              <w:marBottom w:val="0"/>
              <w:divBdr>
                <w:top w:val="none" w:sz="0" w:space="0" w:color="auto"/>
                <w:left w:val="none" w:sz="0" w:space="0" w:color="auto"/>
                <w:bottom w:val="none" w:sz="0" w:space="0" w:color="auto"/>
                <w:right w:val="none" w:sz="0" w:space="0" w:color="auto"/>
              </w:divBdr>
              <w:divsChild>
                <w:div w:id="1830704944">
                  <w:marLeft w:val="0"/>
                  <w:marRight w:val="0"/>
                  <w:marTop w:val="0"/>
                  <w:marBottom w:val="0"/>
                  <w:divBdr>
                    <w:top w:val="none" w:sz="0" w:space="0" w:color="auto"/>
                    <w:left w:val="none" w:sz="0" w:space="0" w:color="auto"/>
                    <w:bottom w:val="none" w:sz="0" w:space="0" w:color="auto"/>
                    <w:right w:val="none" w:sz="0" w:space="0" w:color="auto"/>
                  </w:divBdr>
                  <w:divsChild>
                    <w:div w:id="1755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1601">
              <w:marLeft w:val="0"/>
              <w:marRight w:val="0"/>
              <w:marTop w:val="0"/>
              <w:marBottom w:val="0"/>
              <w:divBdr>
                <w:top w:val="none" w:sz="0" w:space="0" w:color="auto"/>
                <w:left w:val="none" w:sz="0" w:space="0" w:color="auto"/>
                <w:bottom w:val="none" w:sz="0" w:space="0" w:color="auto"/>
                <w:right w:val="none" w:sz="0" w:space="0" w:color="auto"/>
              </w:divBdr>
              <w:divsChild>
                <w:div w:id="957371485">
                  <w:marLeft w:val="0"/>
                  <w:marRight w:val="0"/>
                  <w:marTop w:val="0"/>
                  <w:marBottom w:val="0"/>
                  <w:divBdr>
                    <w:top w:val="none" w:sz="0" w:space="0" w:color="auto"/>
                    <w:left w:val="none" w:sz="0" w:space="0" w:color="auto"/>
                    <w:bottom w:val="none" w:sz="0" w:space="0" w:color="auto"/>
                    <w:right w:val="none" w:sz="0" w:space="0" w:color="auto"/>
                  </w:divBdr>
                  <w:divsChild>
                    <w:div w:id="1097211577">
                      <w:marLeft w:val="0"/>
                      <w:marRight w:val="0"/>
                      <w:marTop w:val="0"/>
                      <w:marBottom w:val="0"/>
                      <w:divBdr>
                        <w:top w:val="none" w:sz="0" w:space="0" w:color="auto"/>
                        <w:left w:val="none" w:sz="0" w:space="0" w:color="auto"/>
                        <w:bottom w:val="none" w:sz="0" w:space="0" w:color="auto"/>
                        <w:right w:val="none" w:sz="0" w:space="0" w:color="auto"/>
                      </w:divBdr>
                      <w:divsChild>
                        <w:div w:id="18717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0960">
          <w:marLeft w:val="0"/>
          <w:marRight w:val="0"/>
          <w:marTop w:val="0"/>
          <w:marBottom w:val="0"/>
          <w:divBdr>
            <w:top w:val="single" w:sz="6" w:space="0" w:color="CCCCCC"/>
            <w:left w:val="none" w:sz="0" w:space="0" w:color="auto"/>
            <w:bottom w:val="none" w:sz="0" w:space="0" w:color="auto"/>
            <w:right w:val="none" w:sz="0" w:space="0" w:color="auto"/>
          </w:divBdr>
        </w:div>
      </w:divsChild>
    </w:div>
    <w:div w:id="1026636372">
      <w:bodyDiv w:val="1"/>
      <w:marLeft w:val="0"/>
      <w:marRight w:val="0"/>
      <w:marTop w:val="0"/>
      <w:marBottom w:val="0"/>
      <w:divBdr>
        <w:top w:val="none" w:sz="0" w:space="0" w:color="auto"/>
        <w:left w:val="none" w:sz="0" w:space="0" w:color="auto"/>
        <w:bottom w:val="none" w:sz="0" w:space="0" w:color="auto"/>
        <w:right w:val="none" w:sz="0" w:space="0" w:color="auto"/>
      </w:divBdr>
      <w:divsChild>
        <w:div w:id="1593009915">
          <w:marLeft w:val="0"/>
          <w:marRight w:val="0"/>
          <w:marTop w:val="0"/>
          <w:marBottom w:val="0"/>
          <w:divBdr>
            <w:top w:val="none" w:sz="0" w:space="0" w:color="auto"/>
            <w:left w:val="none" w:sz="0" w:space="0" w:color="auto"/>
            <w:bottom w:val="single" w:sz="6" w:space="0" w:color="CCCCCC"/>
            <w:right w:val="none" w:sz="0" w:space="0" w:color="auto"/>
          </w:divBdr>
        </w:div>
        <w:div w:id="1349285209">
          <w:marLeft w:val="0"/>
          <w:marRight w:val="0"/>
          <w:marTop w:val="0"/>
          <w:marBottom w:val="0"/>
          <w:divBdr>
            <w:top w:val="none" w:sz="0" w:space="0" w:color="auto"/>
            <w:left w:val="none" w:sz="0" w:space="0" w:color="auto"/>
            <w:bottom w:val="none" w:sz="0" w:space="0" w:color="auto"/>
            <w:right w:val="none" w:sz="0" w:space="0" w:color="auto"/>
          </w:divBdr>
          <w:divsChild>
            <w:div w:id="510527614">
              <w:marLeft w:val="0"/>
              <w:marRight w:val="0"/>
              <w:marTop w:val="0"/>
              <w:marBottom w:val="0"/>
              <w:divBdr>
                <w:top w:val="none" w:sz="0" w:space="0" w:color="auto"/>
                <w:left w:val="none" w:sz="0" w:space="0" w:color="auto"/>
                <w:bottom w:val="none" w:sz="0" w:space="0" w:color="auto"/>
                <w:right w:val="none" w:sz="0" w:space="0" w:color="auto"/>
              </w:divBdr>
              <w:divsChild>
                <w:div w:id="2021201772">
                  <w:marLeft w:val="0"/>
                  <w:marRight w:val="0"/>
                  <w:marTop w:val="0"/>
                  <w:marBottom w:val="0"/>
                  <w:divBdr>
                    <w:top w:val="none" w:sz="0" w:space="0" w:color="auto"/>
                    <w:left w:val="none" w:sz="0" w:space="0" w:color="auto"/>
                    <w:bottom w:val="none" w:sz="0" w:space="0" w:color="auto"/>
                    <w:right w:val="none" w:sz="0" w:space="0" w:color="auto"/>
                  </w:divBdr>
                  <w:divsChild>
                    <w:div w:id="15431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9200">
          <w:marLeft w:val="0"/>
          <w:marRight w:val="0"/>
          <w:marTop w:val="0"/>
          <w:marBottom w:val="0"/>
          <w:divBdr>
            <w:top w:val="single" w:sz="6" w:space="0"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amqp/docs/2.0.2.RELEASE/reference/html/_spring_integration_reference.html" TargetMode="External"/><Relationship Id="rId3" Type="http://schemas.openxmlformats.org/officeDocument/2006/relationships/webSettings" Target="webSettings.xml"/><Relationship Id="rId7" Type="http://schemas.openxmlformats.org/officeDocument/2006/relationships/hyperlink" Target="https://www.rabbitmq.com/how.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qp.org/resources/download" TargetMode="External"/><Relationship Id="rId11" Type="http://schemas.openxmlformats.org/officeDocument/2006/relationships/fontTable" Target="fontTable.xml"/><Relationship Id="rId5" Type="http://schemas.openxmlformats.org/officeDocument/2006/relationships/hyperlink" Target="https://docs.spring.io/spring-amqp/docs/2.0.2.RELEASE/reference/html/_change_history.html" TargetMode="External"/><Relationship Id="rId10" Type="http://schemas.openxmlformats.org/officeDocument/2006/relationships/hyperlink" Target="https://docs.spring.io/spring-amqp/docs/2.0.2.RELEASE/reference/html/index.html" TargetMode="External"/><Relationship Id="rId4" Type="http://schemas.openxmlformats.org/officeDocument/2006/relationships/hyperlink" Target="https://docs.spring.io/spring-amqp/docs/2.0.2.RELEASE/reference/html/_spring_integration_reference.html" TargetMode="External"/><Relationship Id="rId9" Type="http://schemas.openxmlformats.org/officeDocument/2006/relationships/hyperlink" Target="https://docs.spring.io/spring-amqp/docs/2.0.2.RELEASE/reference/html/_change_histo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2018-02-12T02:39:00Z</dcterms:created>
  <dcterms:modified xsi:type="dcterms:W3CDTF">2018-02-12T02:44:00Z</dcterms:modified>
</cp:coreProperties>
</file>