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E7490"/>
          <w:sz w:val="40"/>
        </w:rPr>
        <w:t>Full-Stack Production Roadmap &amp; Design Principles</w:t>
      </w:r>
    </w:p>
    <w:p>
      <w:pPr>
        <w:spacing w:before="0" w:after="240"/>
      </w:pPr>
      <w:r>
        <w:rPr>
          <w:rFonts w:ascii="Calibri" w:hAnsi="Calibri"/>
          <w:b w:val="0"/>
          <w:i/>
          <w:color w:val="475569"/>
          <w:sz w:val="24"/>
        </w:rPr>
        <w:t>Standard Operating Procedure (SOP) for Client Delivery &amp; Web Ventures</w:t>
      </w:r>
    </w:p>
    <w:p>
      <w:pPr>
        <w:spacing w:before="0" w:after="40"/>
      </w:pPr>
      <w:r>
        <w:rPr>
          <w:rFonts w:ascii="Calibri" w:hAnsi="Calibri"/>
          <w:b/>
          <w:i w:val="0"/>
          <w:color w:val="64748B"/>
          <w:sz w:val="19"/>
        </w:rPr>
        <w:t xml:space="preserve">Author / Tech Lead: </w:t>
      </w:r>
      <w:r>
        <w:rPr>
          <w:rFonts w:ascii="Calibri" w:hAnsi="Calibri"/>
          <w:b w:val="0"/>
          <w:i w:val="0"/>
          <w:color w:val="0F172A"/>
          <w:sz w:val="19"/>
        </w:rPr>
        <w:t>Lincoln Green (Pelican Script Engineering)</w:t>
      </w:r>
    </w:p>
    <w:p>
      <w:pPr>
        <w:spacing w:before="0" w:after="40"/>
      </w:pPr>
      <w:r>
        <w:rPr>
          <w:rFonts w:ascii="Calibri" w:hAnsi="Calibri"/>
          <w:b/>
          <w:i w:val="0"/>
          <w:color w:val="64748B"/>
          <w:sz w:val="19"/>
        </w:rPr>
        <w:t xml:space="preserve">Target Audience: </w:t>
      </w:r>
      <w:r>
        <w:rPr>
          <w:rFonts w:ascii="Calibri" w:hAnsi="Calibri"/>
          <w:b w:val="0"/>
          <w:i w:val="0"/>
          <w:color w:val="0F172A"/>
          <w:sz w:val="19"/>
        </w:rPr>
        <w:t>Client Projects, Portfolio Ventures, &amp; Internal Engineering Pipelines</w:t>
      </w:r>
    </w:p>
    <w:p>
      <w:pPr>
        <w:spacing w:before="0" w:after="40"/>
      </w:pPr>
      <w:r>
        <w:rPr>
          <w:rFonts w:ascii="Calibri" w:hAnsi="Calibri"/>
          <w:b/>
          <w:i w:val="0"/>
          <w:color w:val="64748B"/>
          <w:sz w:val="19"/>
        </w:rPr>
        <w:t xml:space="preserve">Core Architecture: </w:t>
      </w:r>
      <w:r>
        <w:rPr>
          <w:rFonts w:ascii="Calibri" w:hAnsi="Calibri"/>
          <w:b w:val="0"/>
          <w:i w:val="0"/>
          <w:color w:val="0F172A"/>
          <w:sz w:val="19"/>
        </w:rPr>
        <w:t>Decoupled Vanilla Stack / Headless Engine / Mobile-First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6"/>
        </w:rPr>
        <w:t>1. The Core Dilemma: Figma vs. Code First?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0F172A"/>
          <w:sz w:val="20"/>
        </w:rPr>
        <w:t xml:space="preserve">A frequent question when transitioning from requirements to build is whether to design everything in Figma first or begin writing code directly. Seasoned engineers make this decision based on one metric: 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Is the visual layout solved? </w:t>
      </w:r>
      <w:r>
        <w:rPr>
          <w:rFonts w:ascii="Calibri" w:hAnsi="Calibri"/>
          <w:b w:val="0"/>
          <w:i w:val="0"/>
          <w:color w:val="0F172A"/>
          <w:sz w:val="20"/>
        </w:rPr>
        <w:t>If you cannot yet clearly visualize how the content hierarchy, card components, or mobile layout behave, building high-fidelity code directly leads to constant CSS rewrites and wasted hours. A design tool is needed first.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The Professional Rule: </w:t>
      </w:r>
      <w:r>
        <w:rPr>
          <w:rFonts w:ascii="Calibri" w:hAnsi="Calibri"/>
          <w:b w:val="0"/>
          <w:i w:val="0"/>
          <w:color w:val="0F172A"/>
          <w:sz w:val="20"/>
        </w:rPr>
        <w:t>However, you do NOT need a pixel-perfect, high-fidelity Figma file before coding. Senior developers use low-fidelity wireframes or rapid design tokens to solve layout questions, then write semantic markup directly.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6"/>
        </w:rPr>
        <w:t>2. The 6-Stage Full-Stack Development Roadmap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0F172A"/>
          <w:sz w:val="20"/>
        </w:rPr>
        <w:t>This is the sequential pipeline professional engineers and agency leads follow when onboarding and executing a client engagement from scratch: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E749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2304"/>
            <w:shd w:fill="0E749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Name</w:t>
            </w:r>
          </w:p>
        </w:tc>
        <w:tc>
          <w:tcPr>
            <w:tcW w:type="dxa" w:w="3024"/>
            <w:shd w:fill="0E749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Deliverable</w:t>
            </w:r>
          </w:p>
        </w:tc>
        <w:tc>
          <w:tcPr>
            <w:tcW w:type="dxa" w:w="2880"/>
            <w:shd w:fill="0E749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1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SRS &amp; Use Case Modeling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Tabulated SRS &amp; UML Diagram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Lock down scope, entities, state bookends, and actor privileges before writing code.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2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Information Architecture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Content Inventory &amp; Low-Fi Sketch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Determine exact section flow on mobile viewports (360px) without color distraction.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3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Design Tokens Definition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Design System Primitive Matrix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Establish colors, typography scales, spacing units, and radius tokens before styling.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4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Semantic HTML Skeleton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Raw Unstyled DOM Structure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Build accessible landmarks (&lt;header&gt;, &lt;main&gt;, &lt;section&gt;, &lt;form&gt;) with zero CSS.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5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Component-Driven Styling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Mobile-First Fluid CSS Layers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Apply design tokens, responsive CSS Grid / Flexbox, and micro-interactions.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Stage 6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Logic, Data &amp; Integration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Vanilla ES6+ &amp; Backend Endpoints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Wire up dynamic behaviors, API fetch requests, form validation, and database storage.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6"/>
        </w:rPr>
        <w:t>3. Detailed Stage Breakdown &amp; Execution Principles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1: System Requirements &amp; Behavioral Specifications (Completed)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Documenting the functional boundaries, actors, preconditions, movie scripts, and exception detours.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Principle: </w:t>
      </w:r>
      <w:r>
        <w:rPr>
          <w:rFonts w:ascii="Calibri" w:hAnsi="Calibri"/>
          <w:b w:val="0"/>
          <w:i w:val="0"/>
          <w:color w:val="0F172A"/>
          <w:sz w:val="20"/>
        </w:rPr>
        <w:t>Prevents scope creep, unbilled client revisions, and ambiguous user stories.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2: Information Architecture &amp; Mobile Wireframing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Before opening high-end graphics software, produce a 10-minute low-fidelity wireframe (paper, Excalidraw, or simple Figma boxes) for a 360px mobile screen.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Content Flow: </w:t>
      </w:r>
      <w:r>
        <w:rPr>
          <w:rFonts w:ascii="Calibri" w:hAnsi="Calibri"/>
          <w:b w:val="0"/>
          <w:i w:val="0"/>
          <w:color w:val="0F172A"/>
          <w:sz w:val="20"/>
        </w:rPr>
        <w:t>Determine the vertical rhythm: Value Proposition Header -&gt; Tier Matrix Cards -&gt; Call-to-Action Trigger -&gt; Newsletter Field -&gt; Footer.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Principle: </w:t>
      </w:r>
      <w:r>
        <w:rPr>
          <w:rFonts w:ascii="Calibri" w:hAnsi="Calibri"/>
          <w:b w:val="0"/>
          <w:i w:val="0"/>
          <w:color w:val="0F172A"/>
          <w:sz w:val="20"/>
        </w:rPr>
        <w:t>Design for mobile first. Desktop is simply the expansion of a clean mobile column into multi-column CSS grid tracks.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3: Design Tokens (The Design System Primitives)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Establish the global variables before writing any component rules.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Colors: </w:t>
      </w:r>
      <w:r>
        <w:rPr>
          <w:rFonts w:ascii="Calibri" w:hAnsi="Calibri"/>
          <w:b w:val="0"/>
          <w:i w:val="0"/>
          <w:color w:val="0F172A"/>
          <w:sz w:val="20"/>
        </w:rPr>
        <w:t>Define exact hex values for Primary, Secondary, Backgrounds, Borders, and Text states.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Spacing Scale: </w:t>
      </w:r>
      <w:r>
        <w:rPr>
          <w:rFonts w:ascii="Calibri" w:hAnsi="Calibri"/>
          <w:b w:val="0"/>
          <w:i w:val="0"/>
          <w:color w:val="0F172A"/>
          <w:sz w:val="20"/>
        </w:rPr>
        <w:t>Adopt an 8-point spacing system (4px, 8px, 16px, 24px, 32px, 48px, 64px) for visual consistency.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Typography: </w:t>
      </w:r>
      <w:r>
        <w:rPr>
          <w:rFonts w:ascii="Calibri" w:hAnsi="Calibri"/>
          <w:b w:val="0"/>
          <w:i w:val="0"/>
          <w:color w:val="0F172A"/>
          <w:sz w:val="20"/>
        </w:rPr>
        <w:t>Use fluid typography scaling (clamp-based min/preferred/max) so headlines scale smoothly across all screen widths without redundant media queries.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4: Semantic Content Skeleton (HTML-First Architecture)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Draft pure semantic HTML with zero styling. If the page is unreadable or disordered without CSS, the accessibility hierarchy is broken.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Elements: </w:t>
      </w:r>
      <w:r>
        <w:rPr>
          <w:rFonts w:ascii="Calibri" w:hAnsi="Calibri"/>
          <w:b w:val="0"/>
          <w:i w:val="0"/>
          <w:color w:val="0F172A"/>
          <w:sz w:val="20"/>
        </w:rPr>
        <w:t>Strictly employ semantic landmark elements: &lt;header&gt;, &lt;nav&gt;, &lt;main&gt;, &lt;section aria-labelledby='...'&gt;, &lt;article&gt;, &lt;footer&gt;.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Principle: </w:t>
      </w:r>
      <w:r>
        <w:rPr>
          <w:rFonts w:ascii="Calibri" w:hAnsi="Calibri"/>
          <w:b w:val="0"/>
          <w:i w:val="0"/>
          <w:color w:val="0F172A"/>
          <w:sz w:val="20"/>
        </w:rPr>
        <w:t>Clean semantic HTML ensures high SEO rankings, screen-reader accessibility, and lightning-fast parser execution.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5: Component-Driven Styling &amp; Fluid Layouts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Structure stylesheets into modular layers: tokens.css -&gt; base.css (resets &amp; typography) -&gt; components.css (buttons, cards, inputs) -&gt; main.css (section layout).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Layout Rules: </w:t>
      </w:r>
      <w:r>
        <w:rPr>
          <w:rFonts w:ascii="Calibri" w:hAnsi="Calibri"/>
          <w:b w:val="0"/>
          <w:i w:val="0"/>
          <w:color w:val="0F172A"/>
          <w:sz w:val="20"/>
        </w:rPr>
        <w:t>Use intrinsic CSS layouts (Grid repeat(auto-fit, minmax(...)) and Flexbox) to let components adapt naturally to the viewport.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475569"/>
          <w:sz w:val="22"/>
        </w:rPr>
        <w:t>Stage 6: Client-Side Logic &amp; Headless Backend Ingestion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Action: </w:t>
      </w:r>
      <w:r>
        <w:rPr>
          <w:rFonts w:ascii="Calibri" w:hAnsi="Calibri"/>
          <w:b w:val="0"/>
          <w:i w:val="0"/>
          <w:color w:val="0F172A"/>
          <w:sz w:val="20"/>
        </w:rPr>
        <w:t>Attach event listeners to clean DOM selectors. Validate forms synchronously on the client, construct payloads, and communicate with headless endpoints.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 xml:space="preserve">Principle: </w:t>
      </w:r>
      <w:r>
        <w:rPr>
          <w:rFonts w:ascii="Calibri" w:hAnsi="Calibri"/>
          <w:b w:val="0"/>
          <w:i w:val="0"/>
          <w:color w:val="0F172A"/>
          <w:sz w:val="20"/>
        </w:rPr>
        <w:t>Never trust client data alone. Always pair client-side validation with backend database constraints and sanitization.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E7490"/>
          <w:sz w:val="26"/>
        </w:rPr>
        <w:t>4. Client Delivery Checklist (Future Engagements)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0F172A"/>
          <w:sz w:val="20"/>
        </w:rPr>
        <w:t>When pitching and onboarding paying SME clients, execute this standard operating checklist: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>Phase A (Discovery):</w:t>
      </w:r>
      <w:r>
        <w:rPr>
          <w:rFonts w:ascii="Calibri" w:hAnsi="Calibri"/>
          <w:b w:val="0"/>
          <w:i w:val="0"/>
          <w:color w:val="0F172A"/>
          <w:sz w:val="20"/>
        </w:rPr>
        <w:t xml:space="preserve"> Discovery session: Identify the client's business bottleneck (e.g., missed phone calls, unlisted prices, no online trust).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>Phase B (Proposal):</w:t>
      </w:r>
      <w:r>
        <w:rPr>
          <w:rFonts w:ascii="Calibri" w:hAnsi="Calibri"/>
          <w:b w:val="0"/>
          <w:i w:val="0"/>
          <w:color w:val="0F172A"/>
          <w:sz w:val="20"/>
        </w:rPr>
        <w:t xml:space="preserve"> Requirements sign-off: Provide a 1-page tabular scope specification and get client approval before coding.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>Phase C (Design Sign-off):</w:t>
      </w:r>
      <w:r>
        <w:rPr>
          <w:rFonts w:ascii="Calibri" w:hAnsi="Calibri"/>
          <w:b w:val="0"/>
          <w:i w:val="0"/>
          <w:color w:val="0F172A"/>
          <w:sz w:val="20"/>
        </w:rPr>
        <w:t xml:space="preserve"> Prototype review: Present a mobile wireframe or quick visual mock to confirm branding and tone.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>Phase D (Build):</w:t>
      </w:r>
      <w:r>
        <w:rPr>
          <w:rFonts w:ascii="Calibri" w:hAnsi="Calibri"/>
          <w:b w:val="0"/>
          <w:i w:val="0"/>
          <w:color w:val="0F172A"/>
          <w:sz w:val="20"/>
        </w:rPr>
        <w:t xml:space="preserve"> Incremental deployment: Push iterative semantic updates to a staging domain (Vercel preview link) for live feedback.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0"/>
        </w:rPr>
        <w:t>Phase E (Launch):</w:t>
      </w:r>
      <w:r>
        <w:rPr>
          <w:rFonts w:ascii="Calibri" w:hAnsi="Calibri"/>
          <w:b w:val="0"/>
          <w:i w:val="0"/>
          <w:color w:val="0F172A"/>
          <w:sz w:val="20"/>
        </w:rPr>
        <w:t xml:space="preserve"> Performance &amp; V&amp;V audit: Run Lighthouse audit (target &gt;= 95), verify form endpoints, test on real Android/iOS devices, and handover.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