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HMRC IABD React Application</w:t>
        <w:br/>
        <w:t>Technical Handover Pack</w:t>
      </w:r>
    </w:p>
    <w:p>
      <w:pPr>
        <w:jc w:val="center"/>
      </w:pPr>
      <w:r>
        <w:rPr>
          <w:b/>
          <w:sz w:val="32"/>
        </w:rPr>
        <w:t>Document 00 – Handover Index</w:t>
      </w:r>
    </w:p>
    <w:p>
      <w:pPr>
        <w:jc w:val="center"/>
      </w:pPr>
      <w:r>
        <w:rPr>
          <w:i/>
        </w:rPr>
        <w:t>Prepared for incoming vendor technical transition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t>Document status</w:t>
            </w:r>
          </w:p>
        </w:tc>
        <w:tc>
          <w:tcPr>
            <w:tcW w:type="dxa" w:w="4968"/>
            <w:vAlign w:val="center"/>
          </w:tcPr>
          <w:p>
            <w:r>
              <w:t>Draft – codebase-derived baseline</w:t>
            </w:r>
          </w:p>
        </w:tc>
      </w:tr>
      <w:tr>
        <w:tc>
          <w:tcPr>
            <w:tcW w:type="dxa" w:w="4968"/>
            <w:vAlign w:val="center"/>
          </w:tcPr>
          <w:p>
            <w:r>
              <w:t>Source reviewed</w:t>
            </w:r>
          </w:p>
        </w:tc>
        <w:tc>
          <w:tcPr>
            <w:tcW w:type="dxa" w:w="4968"/>
            <w:vAlign w:val="center"/>
          </w:tcPr>
          <w:p>
            <w:r>
              <w:t>iabd-Development codebase supplied for handover</w:t>
            </w:r>
          </w:p>
        </w:tc>
      </w:tr>
      <w:tr>
        <w:tc>
          <w:tcPr>
            <w:tcW w:type="dxa" w:w="4968"/>
            <w:vAlign w:val="center"/>
          </w:tcPr>
          <w:p>
            <w:r>
              <w:t>Primary technology</w:t>
            </w:r>
          </w:p>
        </w:tc>
        <w:tc>
          <w:tcPr>
            <w:tcW w:type="dxa" w:w="4968"/>
            <w:vAlign w:val="center"/>
          </w:tcPr>
          <w:p>
            <w:r>
              <w:t>React / TypeScript / Pega Constellation React SDK</w:t>
            </w:r>
          </w:p>
        </w:tc>
      </w:tr>
      <w:tr>
        <w:tc>
          <w:tcPr>
            <w:tcW w:type="dxa" w:w="4968"/>
            <w:vAlign w:val="center"/>
          </w:tcPr>
          <w:p>
            <w:r>
              <w:t>Last reviewed</w:t>
            </w:r>
          </w:p>
        </w:tc>
        <w:tc>
          <w:tcPr>
            <w:tcW w:type="dxa" w:w="4968"/>
            <w:vAlign w:val="center"/>
          </w:tcPr>
          <w:p>
            <w:r>
              <w:t>31 August 2026</w:t>
            </w:r>
          </w:p>
        </w:tc>
      </w:tr>
    </w:tbl>
    <w:p>
      <w:pPr>
        <w:pStyle w:val="Heading1"/>
      </w:pPr>
      <w:r>
        <w:t>1. Purpose</w:t>
      </w:r>
    </w:p>
    <w:p>
      <w:r>
        <w:t>This document is the index and entry point for the technical handover of the HMRC IABD React application. It provides the incoming vendor with a structured route through the frontend architecture, Pega integration, security, build and deployment process, testing, monitoring, troubleshooting and known operational considerations.</w:t>
      </w:r>
    </w:p>
    <w:p>
      <w:r>
        <w:t>The initial content in this handover pack is being derived from the supplied source code. Environment-specific values, operational contacts, repository links, deployment ownership and other information that cannot be established safely from source code should be completed during the formal knowledge-transfer sessions.</w:t>
      </w:r>
    </w:p>
    <w:p>
      <w:pPr>
        <w:pStyle w:val="Heading1"/>
      </w:pPr>
      <w:r>
        <w:t>2. Scope Identified from the Codebase</w:t>
      </w:r>
    </w:p>
    <w:p>
      <w:pPr>
        <w:pStyle w:val="ListBullet"/>
      </w:pPr>
      <w:r>
        <w:t>The repository is a React SDK-based application using Pega Constellation/React SDK capabilities.</w:t>
      </w:r>
    </w:p>
    <w:p>
      <w:pPr>
        <w:pStyle w:val="ListBullet"/>
      </w:pPr>
      <w:r>
        <w:t>The application uses React 18.3.1 and React Router DOM 6.22.3 according to package.json.</w:t>
      </w:r>
    </w:p>
    <w:p>
      <w:pPr>
        <w:pStyle w:val="ListBullet"/>
      </w:pPr>
      <w:r>
        <w:t>The supplied package is versioned as react-sdk 25.1.11 and includes @pega/react-sdk-components ~25.1.11 and @pega/constellationjs 25.1.2-4.</w:t>
      </w:r>
    </w:p>
    <w:p>
      <w:pPr>
        <w:pStyle w:val="ListBullet"/>
      </w:pPr>
      <w:r>
        <w:t>The application contains an IABD sample/application area with PAYE journeys and supporting pages.</w:t>
      </w:r>
    </w:p>
    <w:p>
      <w:pPr>
        <w:pStyle w:val="ListBullet"/>
      </w:pPr>
      <w:r>
        <w:t>The routing layer includes PAYE landing/summary journeys, account activity, tax-code explanations, annual coding, Winter Fuel Payment, untaxed savings interest, employment/pension journeys, interruption, service-unavailable and authentication restriction pages.</w:t>
      </w:r>
    </w:p>
    <w:p>
      <w:pPr>
        <w:pStyle w:val="ListBullet"/>
      </w:pPr>
      <w:r>
        <w:t>The frontend integrates with Pega through PCore/PConnect and a mashup-style embedded experience.</w:t>
      </w:r>
    </w:p>
    <w:p>
      <w:pPr>
        <w:pStyle w:val="ListBullet"/>
      </w:pPr>
      <w:r>
        <w:t>The application contains custom Pega SDK overrides for fields, infrastructure and templates.</w:t>
      </w:r>
    </w:p>
    <w:p>
      <w:pPr>
        <w:pStyle w:val="ListBullet"/>
      </w:pPr>
      <w:r>
        <w:t>The application implements a custom shutter guard that checks D_ShutterLookup and can prevent Pega API requests when the service is shuttered.</w:t>
      </w:r>
    </w:p>
    <w:p>
      <w:pPr>
        <w:pStyle w:val="ListBullet"/>
      </w:pPr>
      <w:r>
        <w:t>The project includes Jest/React Testing Library, Playwright, Storybook, ESLint and Prettier tooling.</w:t>
      </w:r>
    </w:p>
    <w:p>
      <w:pPr>
        <w:pStyle w:val="ListBullet"/>
      </w:pPr>
      <w:r>
        <w:t>The GitLab CI configuration imports an HMRC ODX API pipeline template.</w:t>
      </w:r>
    </w:p>
    <w:p>
      <w:pPr>
        <w:pStyle w:val="Heading1"/>
      </w:pPr>
      <w:r>
        <w:t>3. Handover Document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No.</w:t>
            </w:r>
          </w:p>
        </w:tc>
        <w:tc>
          <w:tcPr>
            <w:tcW w:type="dxa" w:w="2484"/>
          </w:tcPr>
          <w:p>
            <w:r>
              <w:t>Document</w:t>
            </w:r>
          </w:p>
        </w:tc>
        <w:tc>
          <w:tcPr>
            <w:tcW w:type="dxa" w:w="2484"/>
          </w:tcPr>
          <w:p>
            <w:r>
              <w:t>Purpose</w:t>
            </w:r>
          </w:p>
        </w:tc>
        <w:tc>
          <w:tcPr>
            <w:tcW w:type="dxa" w:w="2484"/>
          </w:tcPr>
          <w:p>
            <w:r>
              <w:t>Status</w:t>
            </w:r>
          </w:p>
        </w:tc>
      </w:tr>
      <w:tr>
        <w:tc>
          <w:tcPr>
            <w:tcW w:type="dxa" w:w="2484"/>
          </w:tcPr>
          <w:p>
            <w:r>
              <w:t>00</w:t>
            </w:r>
          </w:p>
        </w:tc>
        <w:tc>
          <w:tcPr>
            <w:tcW w:type="dxa" w:w="2484"/>
          </w:tcPr>
          <w:p>
            <w:r>
              <w:t>Handover Index</w:t>
            </w:r>
          </w:p>
        </w:tc>
        <w:tc>
          <w:tcPr>
            <w:tcW w:type="dxa" w:w="2484"/>
          </w:tcPr>
          <w:p>
            <w:r>
              <w:t>This document. Navigation, scope, ownership and completion status.</w:t>
            </w:r>
          </w:p>
        </w:tc>
        <w:tc>
          <w:tcPr>
            <w:tcW w:type="dxa" w:w="2484"/>
          </w:tcPr>
          <w:p>
            <w:r>
              <w:t>To be prepared</w:t>
            </w:r>
          </w:p>
        </w:tc>
      </w:tr>
      <w:tr>
        <w:tc>
          <w:tcPr>
            <w:tcW w:type="dxa" w:w="2484"/>
          </w:tcPr>
          <w:p>
            <w:r>
              <w:t>01</w:t>
            </w:r>
          </w:p>
        </w:tc>
        <w:tc>
          <w:tcPr>
            <w:tcW w:type="dxa" w:w="2484"/>
          </w:tcPr>
          <w:p>
            <w:r>
              <w:t>Project &amp; Application Overview</w:t>
            </w:r>
          </w:p>
        </w:tc>
        <w:tc>
          <w:tcPr>
            <w:tcW w:type="dxa" w:w="2484"/>
          </w:tcPr>
          <w:p>
            <w:r>
              <w:t>Business/technical context, application scope, high-level architecture, journeys, dependencies and environments.</w:t>
            </w:r>
          </w:p>
        </w:tc>
        <w:tc>
          <w:tcPr>
            <w:tcW w:type="dxa" w:w="2484"/>
          </w:tcPr>
          <w:p>
            <w:r>
              <w:t>To be prepared</w:t>
            </w:r>
          </w:p>
        </w:tc>
      </w:tr>
      <w:tr>
        <w:tc>
          <w:tcPr>
            <w:tcW w:type="dxa" w:w="2484"/>
          </w:tcPr>
          <w:p>
            <w:r>
              <w:t>02</w:t>
            </w:r>
          </w:p>
        </w:tc>
        <w:tc>
          <w:tcPr>
            <w:tcW w:type="dxa" w:w="2484"/>
          </w:tcPr>
          <w:p>
            <w:r>
              <w:t>Frontend Architecture &amp; Design</w:t>
            </w:r>
          </w:p>
        </w:tc>
        <w:tc>
          <w:tcPr>
            <w:tcW w:type="dxa" w:w="2484"/>
          </w:tcPr>
          <w:p>
            <w:r>
              <w:t>React application architecture, entry points, routing, contexts, component organisation and architectural decisions.</w:t>
            </w:r>
          </w:p>
        </w:tc>
        <w:tc>
          <w:tcPr>
            <w:tcW w:type="dxa" w:w="2484"/>
          </w:tcPr>
          <w:p>
            <w:r>
              <w:t>To be prepared</w:t>
            </w:r>
          </w:p>
        </w:tc>
      </w:tr>
      <w:tr>
        <w:tc>
          <w:tcPr>
            <w:tcW w:type="dxa" w:w="2484"/>
          </w:tcPr>
          <w:p>
            <w:r>
              <w:t>03</w:t>
            </w:r>
          </w:p>
        </w:tc>
        <w:tc>
          <w:tcPr>
            <w:tcW w:type="dxa" w:w="2484"/>
          </w:tcPr>
          <w:p>
            <w:r>
              <w:t>React Development Guidelines</w:t>
            </w:r>
          </w:p>
        </w:tc>
        <w:tc>
          <w:tcPr>
            <w:tcW w:type="dxa" w:w="2484"/>
          </w:tcPr>
          <w:p>
            <w:r>
              <w:t>Coding conventions, component patterns, hooks, navigation, state/data handling, accessibility and development rules.</w:t>
            </w:r>
          </w:p>
        </w:tc>
        <w:tc>
          <w:tcPr>
            <w:tcW w:type="dxa" w:w="2484"/>
          </w:tcPr>
          <w:p>
            <w:r>
              <w:t>To be prepared</w:t>
            </w:r>
          </w:p>
        </w:tc>
      </w:tr>
      <w:tr>
        <w:tc>
          <w:tcPr>
            <w:tcW w:type="dxa" w:w="2484"/>
          </w:tcPr>
          <w:p>
            <w:r>
              <w:t>04</w:t>
            </w:r>
          </w:p>
        </w:tc>
        <w:tc>
          <w:tcPr>
            <w:tcW w:type="dxa" w:w="2484"/>
          </w:tcPr>
          <w:p>
            <w:r>
              <w:t>Pega React SDK Integration</w:t>
            </w:r>
          </w:p>
        </w:tc>
        <w:tc>
          <w:tcPr>
            <w:tcW w:type="dxa" w:w="2484"/>
          </w:tcPr>
          <w:p>
            <w:r>
              <w:t>PCore/PConnect, mashup lifecycle, SDK configuration, component mapping, SDK overrides and Pega event subscriptions.</w:t>
            </w:r>
          </w:p>
        </w:tc>
        <w:tc>
          <w:tcPr>
            <w:tcW w:type="dxa" w:w="2484"/>
          </w:tcPr>
          <w:p>
            <w:r>
              <w:t>To be prepared</w:t>
            </w:r>
          </w:p>
        </w:tc>
      </w:tr>
      <w:tr>
        <w:tc>
          <w:tcPr>
            <w:tcW w:type="dxa" w:w="2484"/>
          </w:tcPr>
          <w:p>
            <w:r>
              <w:t>05</w:t>
            </w:r>
          </w:p>
        </w:tc>
        <w:tc>
          <w:tcPr>
            <w:tcW w:type="dxa" w:w="2484"/>
          </w:tcPr>
          <w:p>
            <w:r>
              <w:t>Common Components &amp; Shared Services</w:t>
            </w:r>
          </w:p>
        </w:tc>
        <w:tc>
          <w:tcPr>
            <w:tcW w:type="dxa" w:w="2484"/>
          </w:tcPr>
          <w:p>
            <w:r>
              <w:t>Reusable components, helpers, hooks, cookie handling, navigation, tracking, shutter handling and shared application services.</w:t>
            </w:r>
          </w:p>
        </w:tc>
        <w:tc>
          <w:tcPr>
            <w:tcW w:type="dxa" w:w="2484"/>
          </w:tcPr>
          <w:p>
            <w:r>
              <w:t>To be prepared</w:t>
            </w:r>
          </w:p>
        </w:tc>
      </w:tr>
      <w:tr>
        <w:tc>
          <w:tcPr>
            <w:tcW w:type="dxa" w:w="2484"/>
          </w:tcPr>
          <w:p>
            <w:r>
              <w:t>06</w:t>
            </w:r>
          </w:p>
        </w:tc>
        <w:tc>
          <w:tcPr>
            <w:tcW w:type="dxa" w:w="2484"/>
          </w:tcPr>
          <w:p>
            <w:r>
              <w:t>Authentication &amp; Security</w:t>
            </w:r>
          </w:p>
        </w:tc>
        <w:tc>
          <w:tcPr>
            <w:tcW w:type="dxa" w:w="2484"/>
          </w:tcPr>
          <w:p>
            <w:r>
              <w:t>Authentication flow, OAuth/SDK authentication, protected routes, action-type handling, token behaviour and security boundaries.</w:t>
            </w:r>
          </w:p>
        </w:tc>
        <w:tc>
          <w:tcPr>
            <w:tcW w:type="dxa" w:w="2484"/>
          </w:tcPr>
          <w:p>
            <w:r>
              <w:t>To be prepared</w:t>
            </w:r>
          </w:p>
        </w:tc>
      </w:tr>
      <w:tr>
        <w:tc>
          <w:tcPr>
            <w:tcW w:type="dxa" w:w="2484"/>
          </w:tcPr>
          <w:p>
            <w:r>
              <w:t>07</w:t>
            </w:r>
          </w:p>
        </w:tc>
        <w:tc>
          <w:tcPr>
            <w:tcW w:type="dxa" w:w="2484"/>
          </w:tcPr>
          <w:p>
            <w:r>
              <w:t>API &amp; Backend Integration</w:t>
            </w:r>
          </w:p>
        </w:tc>
        <w:tc>
          <w:tcPr>
            <w:tcW w:type="dxa" w:w="2484"/>
          </w:tcPr>
          <w:p>
            <w:r>
              <w:t>REST/API interaction patterns, Pega APIs, data views, request handling, error handling and API inventory.</w:t>
            </w:r>
          </w:p>
        </w:tc>
        <w:tc>
          <w:tcPr>
            <w:tcW w:type="dxa" w:w="2484"/>
          </w:tcPr>
          <w:p>
            <w:r>
              <w:t>To be prepared</w:t>
            </w:r>
          </w:p>
        </w:tc>
      </w:tr>
      <w:tr>
        <w:tc>
          <w:tcPr>
            <w:tcW w:type="dxa" w:w="2484"/>
          </w:tcPr>
          <w:p>
            <w:r>
              <w:t>08</w:t>
            </w:r>
          </w:p>
        </w:tc>
        <w:tc>
          <w:tcPr>
            <w:tcW w:type="dxa" w:w="2484"/>
          </w:tcPr>
          <w:p>
            <w:r>
              <w:t>Build, CI/CD &amp; Deployment</w:t>
            </w:r>
          </w:p>
        </w:tc>
        <w:tc>
          <w:tcPr>
            <w:tcW w:type="dxa" w:w="2484"/>
          </w:tcPr>
          <w:p>
            <w:r>
              <w:t>Node/npm requirements, build scripts, Webpack, GitLab CI, artifact flow and deployment procedure.</w:t>
            </w:r>
          </w:p>
        </w:tc>
        <w:tc>
          <w:tcPr>
            <w:tcW w:type="dxa" w:w="2484"/>
          </w:tcPr>
          <w:p>
            <w:r>
              <w:t>To be prepared</w:t>
            </w:r>
          </w:p>
        </w:tc>
      </w:tr>
      <w:tr>
        <w:tc>
          <w:tcPr>
            <w:tcW w:type="dxa" w:w="2484"/>
          </w:tcPr>
          <w:p>
            <w:r>
              <w:t>09</w:t>
            </w:r>
          </w:p>
        </w:tc>
        <w:tc>
          <w:tcPr>
            <w:tcW w:type="dxa" w:w="2484"/>
          </w:tcPr>
          <w:p>
            <w:r>
              <w:t>Environment &amp; Configuration</w:t>
            </w:r>
          </w:p>
        </w:tc>
        <w:tc>
          <w:tcPr>
            <w:tcW w:type="dxa" w:w="2484"/>
          </w:tcPr>
          <w:p>
            <w:r>
              <w:t>Environment-specific configuration, SDK config, runtime configuration, base paths and configuration ownership.</w:t>
            </w:r>
          </w:p>
        </w:tc>
        <w:tc>
          <w:tcPr>
            <w:tcW w:type="dxa" w:w="2484"/>
          </w:tcPr>
          <w:p>
            <w:r>
              <w:t>To be prepared</w:t>
            </w:r>
          </w:p>
        </w:tc>
      </w:tr>
      <w:tr>
        <w:tc>
          <w:tcPr>
            <w:tcW w:type="dxa" w:w="2484"/>
          </w:tcPr>
          <w:p>
            <w:r>
              <w:t>10</w:t>
            </w:r>
          </w:p>
        </w:tc>
        <w:tc>
          <w:tcPr>
            <w:tcW w:type="dxa" w:w="2484"/>
          </w:tcPr>
          <w:p>
            <w:r>
              <w:t>Testing &amp; Accessibility</w:t>
            </w:r>
          </w:p>
        </w:tc>
        <w:tc>
          <w:tcPr>
            <w:tcW w:type="dxa" w:w="2484"/>
          </w:tcPr>
          <w:p>
            <w:r>
              <w:t>Unit, integration and end-to-end testing, test organisation, Storybook, accessibility and quality gates.</w:t>
            </w:r>
          </w:p>
        </w:tc>
        <w:tc>
          <w:tcPr>
            <w:tcW w:type="dxa" w:w="2484"/>
          </w:tcPr>
          <w:p>
            <w:r>
              <w:t>To be prepared</w:t>
            </w:r>
          </w:p>
        </w:tc>
      </w:tr>
      <w:tr>
        <w:tc>
          <w:tcPr>
            <w:tcW w:type="dxa" w:w="2484"/>
          </w:tcPr>
          <w:p>
            <w:r>
              <w:t>11</w:t>
            </w:r>
          </w:p>
        </w:tc>
        <w:tc>
          <w:tcPr>
            <w:tcW w:type="dxa" w:w="2484"/>
          </w:tcPr>
          <w:p>
            <w:r>
              <w:t>Monitoring &amp; Troubleshooting</w:t>
            </w:r>
          </w:p>
        </w:tc>
        <w:tc>
          <w:tcPr>
            <w:tcW w:type="dxa" w:w="2484"/>
          </w:tcPr>
          <w:p>
            <w:r>
              <w:t>Dynatrace/operational monitoring, browser diagnostics, common failure modes and investigation flow.</w:t>
            </w:r>
          </w:p>
        </w:tc>
        <w:tc>
          <w:tcPr>
            <w:tcW w:type="dxa" w:w="2484"/>
          </w:tcPr>
          <w:p>
            <w:r>
              <w:t>To be prepared</w:t>
            </w:r>
          </w:p>
        </w:tc>
      </w:tr>
      <w:tr>
        <w:tc>
          <w:tcPr>
            <w:tcW w:type="dxa" w:w="2484"/>
          </w:tcPr>
          <w:p>
            <w:r>
              <w:t>12</w:t>
            </w:r>
          </w:p>
        </w:tc>
        <w:tc>
          <w:tcPr>
            <w:tcW w:type="dxa" w:w="2484"/>
          </w:tcPr>
          <w:p>
            <w:r>
              <w:t>Known Issues &amp; Operational Runbook</w:t>
            </w:r>
          </w:p>
        </w:tc>
        <w:tc>
          <w:tcPr>
            <w:tcW w:type="dxa" w:w="2484"/>
          </w:tcPr>
          <w:p>
            <w:r>
              <w:t>Known defects, workarounds, production support procedures, service shutter behaviour and escalation guidance.</w:t>
            </w:r>
          </w:p>
        </w:tc>
        <w:tc>
          <w:tcPr>
            <w:tcW w:type="dxa" w:w="2484"/>
          </w:tcPr>
          <w:p>
            <w:r>
              <w:t>To be prepared</w:t>
            </w:r>
          </w:p>
        </w:tc>
      </w:tr>
      <w:tr>
        <w:tc>
          <w:tcPr>
            <w:tcW w:type="dxa" w:w="2484"/>
          </w:tcPr>
          <w:p>
            <w:r>
              <w:t>13</w:t>
            </w:r>
          </w:p>
        </w:tc>
        <w:tc>
          <w:tcPr>
            <w:tcW w:type="dxa" w:w="2484"/>
          </w:tcPr>
          <w:p>
            <w:r>
              <w:t>Architecture Decision Records</w:t>
            </w:r>
          </w:p>
        </w:tc>
        <w:tc>
          <w:tcPr>
            <w:tcW w:type="dxa" w:w="2484"/>
          </w:tcPr>
          <w:p>
            <w:r>
              <w:t>Important technical decisions, rationale, alternatives considered and consequences.</w:t>
            </w:r>
          </w:p>
        </w:tc>
        <w:tc>
          <w:tcPr>
            <w:tcW w:type="dxa" w:w="2484"/>
          </w:tcPr>
          <w:p>
            <w:r>
              <w:t>To be prepared</w:t>
            </w:r>
          </w:p>
        </w:tc>
      </w:tr>
    </w:tbl>
    <w:p>
      <w:pPr>
        <w:pStyle w:val="Heading1"/>
      </w:pPr>
      <w:r>
        <w:t>4. Codebase Evidence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Area</w:t>
            </w:r>
          </w:p>
        </w:tc>
        <w:tc>
          <w:tcPr>
            <w:tcW w:type="dxa" w:w="4968"/>
          </w:tcPr>
          <w:p>
            <w:r>
              <w:t>Primary codebase location(s)</w:t>
            </w:r>
          </w:p>
        </w:tc>
      </w:tr>
      <w:tr>
        <w:tc>
          <w:tcPr>
            <w:tcW w:type="dxa" w:w="4968"/>
          </w:tcPr>
          <w:p>
            <w:r>
              <w:t>Application entry/routing</w:t>
            </w:r>
          </w:p>
        </w:tc>
        <w:tc>
          <w:tcPr>
            <w:tcW w:type="dxa" w:w="4968"/>
          </w:tcPr>
          <w:p>
            <w:r>
              <w:t>src/samples/TopLevelApp/index.tsx; src/samples/AppSelector/index.tsx; src/samples/AppSelector/payeRoutes.tsx</w:t>
            </w:r>
          </w:p>
        </w:tc>
      </w:tr>
      <w:tr>
        <w:tc>
          <w:tcPr>
            <w:tcW w:type="dxa" w:w="4968"/>
          </w:tcPr>
          <w:p>
            <w:r>
              <w:t>Pega SDK bootstrap</w:t>
            </w:r>
          </w:p>
        </w:tc>
        <w:tc>
          <w:tcPr>
            <w:tcW w:type="dxa" w:w="4968"/>
          </w:tcPr>
          <w:p>
            <w:r>
              <w:t>src/reuseables/PegaSetup.tsx</w:t>
            </w:r>
          </w:p>
        </w:tc>
      </w:tr>
      <w:tr>
        <w:tc>
          <w:tcPr>
            <w:tcW w:type="dxa" w:w="4968"/>
          </w:tcPr>
          <w:p>
            <w:r>
              <w:t>Application context</w:t>
            </w:r>
          </w:p>
        </w:tc>
        <w:tc>
          <w:tcPr>
            <w:tcW w:type="dxa" w:w="4968"/>
          </w:tcPr>
          <w:p>
            <w:r>
              <w:t>src/reuseables/AppContext.ts</w:t>
            </w:r>
          </w:p>
        </w:tc>
      </w:tr>
      <w:tr>
        <w:tc>
          <w:tcPr>
            <w:tcW w:type="dxa" w:w="4968"/>
          </w:tcPr>
          <w:p>
            <w:r>
              <w:t>Pega component map</w:t>
            </w:r>
          </w:p>
        </w:tc>
        <w:tc>
          <w:tcPr>
            <w:tcW w:type="dxa" w:w="4968"/>
          </w:tcPr>
          <w:p>
            <w:r>
              <w:t>src/components_map.js; sdk-local-component-map referenced by PegaSetup</w:t>
            </w:r>
          </w:p>
        </w:tc>
      </w:tr>
      <w:tr>
        <w:tc>
          <w:tcPr>
            <w:tcW w:type="dxa" w:w="4968"/>
          </w:tcPr>
          <w:p>
            <w:r>
              <w:t>Custom SDK overrides</w:t>
            </w:r>
          </w:p>
        </w:tc>
        <w:tc>
          <w:tcPr>
            <w:tcW w:type="dxa" w:w="4968"/>
          </w:tcPr>
          <w:p>
            <w:r>
              <w:t>src/components/override-sdk/field; src/components/override-sdk/infra; src/components/override-sdk/template</w:t>
            </w:r>
          </w:p>
        </w:tc>
      </w:tr>
      <w:tr>
        <w:tc>
          <w:tcPr>
            <w:tcW w:type="dxa" w:w="4968"/>
          </w:tcPr>
          <w:p>
            <w:r>
              <w:t>Shutter handling</w:t>
            </w:r>
          </w:p>
        </w:tc>
        <w:tc>
          <w:tcPr>
            <w:tcW w:type="dxa" w:w="4968"/>
          </w:tcPr>
          <w:p>
            <w:r>
              <w:t>src/components/helpers/shutterGuard.ts; src/components/helpers/shutterLookup.ts</w:t>
            </w:r>
          </w:p>
        </w:tc>
      </w:tr>
      <w:tr>
        <w:tc>
          <w:tcPr>
            <w:tcW w:type="dxa" w:w="4968"/>
          </w:tcPr>
          <w:p>
            <w:r>
              <w:t>PAYE pages/journeys</w:t>
            </w:r>
          </w:p>
        </w:tc>
        <w:tc>
          <w:tcPr>
            <w:tcW w:type="dxa" w:w="4968"/>
          </w:tcPr>
          <w:p>
            <w:r>
              <w:t>src/samples/app/iabd/PayeCurrentYear and related journey folders</w:t>
            </w:r>
          </w:p>
        </w:tc>
      </w:tr>
      <w:tr>
        <w:tc>
          <w:tcPr>
            <w:tcW w:type="dxa" w:w="4968"/>
          </w:tcPr>
          <w:p>
            <w:r>
              <w:t>Build and dependency configuration</w:t>
            </w:r>
          </w:p>
        </w:tc>
        <w:tc>
          <w:tcPr>
            <w:tcW w:type="dxa" w:w="4968"/>
          </w:tcPr>
          <w:p>
            <w:r>
              <w:t>package.json; webpack/configuration files in repository</w:t>
            </w:r>
          </w:p>
        </w:tc>
      </w:tr>
      <w:tr>
        <w:tc>
          <w:tcPr>
            <w:tcW w:type="dxa" w:w="4968"/>
          </w:tcPr>
          <w:p>
            <w:r>
              <w:t>CI/CD</w:t>
            </w:r>
          </w:p>
        </w:tc>
        <w:tc>
          <w:tcPr>
            <w:tcW w:type="dxa" w:w="4968"/>
          </w:tcPr>
          <w:p>
            <w:r>
              <w:t xml:space="preserve"> .gitlab-ci.yml</w:t>
            </w:r>
          </w:p>
        </w:tc>
      </w:tr>
      <w:tr>
        <w:tc>
          <w:tcPr>
            <w:tcW w:type="dxa" w:w="4968"/>
          </w:tcPr>
          <w:p>
            <w:r>
              <w:t>SDK configuration</w:t>
            </w:r>
          </w:p>
        </w:tc>
        <w:tc>
          <w:tcPr>
            <w:tcW w:type="dxa" w:w="4968"/>
          </w:tcPr>
          <w:p>
            <w:r>
              <w:t>src/dxcb.config.json and SDK configuration consumed through @pega/auth</w:t>
            </w:r>
          </w:p>
        </w:tc>
      </w:tr>
      <w:tr>
        <w:tc>
          <w:tcPr>
            <w:tcW w:type="dxa" w:w="4968"/>
          </w:tcPr>
          <w:p>
            <w:r>
              <w:t>Testing</w:t>
            </w:r>
          </w:p>
        </w:tc>
        <w:tc>
          <w:tcPr>
            <w:tcW w:type="dxa" w:w="4968"/>
          </w:tcPr>
          <w:p>
            <w:r>
              <w:t>*.test.tsx / *.test.ts files and Playwright/Storybook configuration</w:t>
            </w:r>
          </w:p>
        </w:tc>
      </w:tr>
    </w:tbl>
    <w:p>
      <w:pPr>
        <w:pStyle w:val="Heading1"/>
      </w:pPr>
      <w:r>
        <w:t>5. Key Technical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Characteristic</w:t>
            </w:r>
          </w:p>
        </w:tc>
        <w:tc>
          <w:tcPr>
            <w:tcW w:type="dxa" w:w="4968"/>
          </w:tcPr>
          <w:p>
            <w:r>
              <w:t>Codebase finding</w:t>
            </w:r>
          </w:p>
        </w:tc>
      </w:tr>
      <w:tr>
        <w:tc>
          <w:tcPr>
            <w:tcW w:type="dxa" w:w="4968"/>
          </w:tcPr>
          <w:p>
            <w:r>
              <w:t>Frontend framework</w:t>
            </w:r>
          </w:p>
        </w:tc>
        <w:tc>
          <w:tcPr>
            <w:tcW w:type="dxa" w:w="4968"/>
          </w:tcPr>
          <w:p>
            <w:r>
              <w:t>React 18.3.1</w:t>
            </w:r>
          </w:p>
        </w:tc>
      </w:tr>
      <w:tr>
        <w:tc>
          <w:tcPr>
            <w:tcW w:type="dxa" w:w="4968"/>
          </w:tcPr>
          <w:p>
            <w:r>
              <w:t>Language</w:t>
            </w:r>
          </w:p>
        </w:tc>
        <w:tc>
          <w:tcPr>
            <w:tcW w:type="dxa" w:w="4968"/>
          </w:tcPr>
          <w:p>
            <w:r>
              <w:t>TypeScript and JavaScript</w:t>
            </w:r>
          </w:p>
        </w:tc>
      </w:tr>
      <w:tr>
        <w:tc>
          <w:tcPr>
            <w:tcW w:type="dxa" w:w="4968"/>
          </w:tcPr>
          <w:p>
            <w:r>
              <w:t>Routing</w:t>
            </w:r>
          </w:p>
        </w:tc>
        <w:tc>
          <w:tcPr>
            <w:tcW w:type="dxa" w:w="4968"/>
          </w:tcPr>
          <w:p>
            <w:r>
              <w:t>react-router-dom 6.22.3</w:t>
            </w:r>
          </w:p>
        </w:tc>
      </w:tr>
      <w:tr>
        <w:tc>
          <w:tcPr>
            <w:tcW w:type="dxa" w:w="4968"/>
          </w:tcPr>
          <w:p>
            <w:r>
              <w:t>Pega platform integration</w:t>
            </w:r>
          </w:p>
        </w:tc>
        <w:tc>
          <w:tcPr>
            <w:tcW w:type="dxa" w:w="4968"/>
          </w:tcPr>
          <w:p>
            <w:r>
              <w:t>Pega Constellation / React SDK; PCore/PConnect</w:t>
            </w:r>
          </w:p>
        </w:tc>
      </w:tr>
      <w:tr>
        <w:tc>
          <w:tcPr>
            <w:tcW w:type="dxa" w:w="4968"/>
          </w:tcPr>
          <w:p>
            <w:r>
              <w:t>SDK package baseline</w:t>
            </w:r>
          </w:p>
        </w:tc>
        <w:tc>
          <w:tcPr>
            <w:tcW w:type="dxa" w:w="4968"/>
          </w:tcPr>
          <w:p>
            <w:r>
              <w:t>react-sdk 25.1.11; @pega/react-sdk-components ~25.1.11</w:t>
            </w:r>
          </w:p>
        </w:tc>
      </w:tr>
      <w:tr>
        <w:tc>
          <w:tcPr>
            <w:tcW w:type="dxa" w:w="4968"/>
          </w:tcPr>
          <w:p>
            <w:r>
              <w:t>UI / styling</w:t>
            </w:r>
          </w:p>
        </w:tc>
        <w:tc>
          <w:tcPr>
            <w:tcW w:type="dxa" w:w="4968"/>
          </w:tcPr>
          <w:p>
            <w:r>
              <w:t>HMRC/GOV.UK frontend packages, MUI packages, SCSS and project-specific styling</w:t>
            </w:r>
          </w:p>
        </w:tc>
      </w:tr>
      <w:tr>
        <w:tc>
          <w:tcPr>
            <w:tcW w:type="dxa" w:w="4968"/>
          </w:tcPr>
          <w:p>
            <w:r>
              <w:t>Internationalisation</w:t>
            </w:r>
          </w:p>
        </w:tc>
        <w:tc>
          <w:tcPr>
            <w:tcW w:type="dxa" w:w="4968"/>
          </w:tcPr>
          <w:p>
            <w:r>
              <w:t>i18next / react-i18next</w:t>
            </w:r>
          </w:p>
        </w:tc>
      </w:tr>
      <w:tr>
        <w:tc>
          <w:tcPr>
            <w:tcW w:type="dxa" w:w="4968"/>
          </w:tcPr>
          <w:p>
            <w:r>
              <w:t>Unit/component testing</w:t>
            </w:r>
          </w:p>
        </w:tc>
        <w:tc>
          <w:tcPr>
            <w:tcW w:type="dxa" w:w="4968"/>
          </w:tcPr>
          <w:p>
            <w:r>
              <w:t>Jest and React Testing Library</w:t>
            </w:r>
          </w:p>
        </w:tc>
      </w:tr>
      <w:tr>
        <w:tc>
          <w:tcPr>
            <w:tcW w:type="dxa" w:w="4968"/>
          </w:tcPr>
          <w:p>
            <w:r>
              <w:t>End-to-end testing</w:t>
            </w:r>
          </w:p>
        </w:tc>
        <w:tc>
          <w:tcPr>
            <w:tcW w:type="dxa" w:w="4968"/>
          </w:tcPr>
          <w:p>
            <w:r>
              <w:t>Playwright</w:t>
            </w:r>
          </w:p>
        </w:tc>
      </w:tr>
      <w:tr>
        <w:tc>
          <w:tcPr>
            <w:tcW w:type="dxa" w:w="4968"/>
          </w:tcPr>
          <w:p>
            <w:r>
              <w:t>Component development</w:t>
            </w:r>
          </w:p>
        </w:tc>
        <w:tc>
          <w:tcPr>
            <w:tcW w:type="dxa" w:w="4968"/>
          </w:tcPr>
          <w:p>
            <w:r>
              <w:t>Storybook</w:t>
            </w:r>
          </w:p>
        </w:tc>
      </w:tr>
      <w:tr>
        <w:tc>
          <w:tcPr>
            <w:tcW w:type="dxa" w:w="4968"/>
          </w:tcPr>
          <w:p>
            <w:r>
              <w:t>Code quality</w:t>
            </w:r>
          </w:p>
        </w:tc>
        <w:tc>
          <w:tcPr>
            <w:tcW w:type="dxa" w:w="4968"/>
          </w:tcPr>
          <w:p>
            <w:r>
              <w:t>ESLint and Prettier</w:t>
            </w:r>
          </w:p>
        </w:tc>
      </w:tr>
      <w:tr>
        <w:tc>
          <w:tcPr>
            <w:tcW w:type="dxa" w:w="4968"/>
          </w:tcPr>
          <w:p>
            <w:r>
              <w:t>CI/CD</w:t>
            </w:r>
          </w:p>
        </w:tc>
        <w:tc>
          <w:tcPr>
            <w:tcW w:type="dxa" w:w="4968"/>
          </w:tcPr>
          <w:p>
            <w:r>
              <w:t>GitLab CI using an HMRC ODX API pipeline template</w:t>
            </w:r>
          </w:p>
        </w:tc>
      </w:tr>
      <w:tr>
        <w:tc>
          <w:tcPr>
            <w:tcW w:type="dxa" w:w="4968"/>
          </w:tcPr>
          <w:p>
            <w:r>
              <w:t>Service availability protection</w:t>
            </w:r>
          </w:p>
        </w:tc>
        <w:tc>
          <w:tcPr>
            <w:tcW w:type="dxa" w:w="4968"/>
          </w:tcPr>
          <w:p>
            <w:r>
              <w:t>Custom shutter guard using D_ShutterLookup</w:t>
            </w:r>
          </w:p>
        </w:tc>
      </w:tr>
    </w:tbl>
    <w:p>
      <w:pPr>
        <w:pStyle w:val="Heading1"/>
      </w:pPr>
      <w:r>
        <w:t>6. Important Handover Notes</w:t>
      </w:r>
    </w:p>
    <w:p>
      <w:pPr>
        <w:pStyle w:val="ListBullet"/>
      </w:pPr>
      <w:r>
        <w:t>The source code is the authoritative starting point for technical behaviour documented here; where source code does not establish an operational fact, the handover should explicitly record the value as 'To be confirmed'.</w:t>
      </w:r>
    </w:p>
    <w:p>
      <w:pPr>
        <w:pStyle w:val="ListBullet"/>
      </w:pPr>
      <w:r>
        <w:t>Do not include credentials, tokens, private keys, client secrets or other sensitive operational values in the handover documents.</w:t>
      </w:r>
    </w:p>
    <w:p>
      <w:pPr>
        <w:pStyle w:val="ListBullet"/>
      </w:pPr>
      <w:r>
        <w:t>The Pega SDK integration is a major transition area. The incoming team should understand the PCore/PConnect lifecycle, SDK component mapping, custom overrides and Pub/Sub event subscriptions before making architectural changes.</w:t>
      </w:r>
    </w:p>
    <w:p>
      <w:pPr>
        <w:pStyle w:val="ListBullet"/>
      </w:pPr>
      <w:r>
        <w:t>The custom shutter implementation intercepts XMLHttpRequest traffic for Pega API calls and checks D_ShutterLookup. This behaviour should be treated as a critical operational dependency.</w:t>
      </w:r>
    </w:p>
    <w:p>
      <w:pPr>
        <w:pStyle w:val="ListBullet"/>
      </w:pPr>
      <w:r>
        <w:t>The repository contains both SDK-level/sample material and application-specific IABD implementation. The incoming vendor should distinguish reusable SDK infrastructure from HMRC application-specific code before modifying shared areas.</w:t>
      </w:r>
    </w:p>
    <w:p>
      <w:pPr>
        <w:pStyle w:val="ListBullet"/>
      </w:pPr>
      <w:r>
        <w:t>The package contains a React Redux dependency, but this index does not infer application-level Redux usage solely from the dependency declaration. Actual usage should be confirmed during the architecture review.</w:t>
      </w:r>
    </w:p>
    <w:p>
      <w:pPr>
        <w:pStyle w:val="Heading1"/>
      </w:pPr>
      <w:r>
        <w:t>7. Information to Complete During KT</w:t>
      </w:r>
    </w:p>
    <w:p>
      <w:pPr>
        <w:pStyle w:val="ListBullet"/>
      </w:pPr>
      <w:r>
        <w:t>Repository URL(s), branch strategy and ownership.</w:t>
      </w:r>
    </w:p>
    <w:p>
      <w:pPr>
        <w:pStyle w:val="ListBullet"/>
      </w:pPr>
      <w:r>
        <w:t>DEV/QA/UAT/PROD URLs and environment ownership.</w:t>
      </w:r>
    </w:p>
    <w:p>
      <w:pPr>
        <w:pStyle w:val="ListBullet"/>
      </w:pPr>
      <w:r>
        <w:t>Pega environment details and application/alias information.</w:t>
      </w:r>
    </w:p>
    <w:p>
      <w:pPr>
        <w:pStyle w:val="ListBullet"/>
      </w:pPr>
      <w:r>
        <w:t>CI/CD pipeline ownership and deployment approval process.</w:t>
      </w:r>
    </w:p>
    <w:p>
      <w:pPr>
        <w:pStyle w:val="ListBullet"/>
      </w:pPr>
      <w:r>
        <w:t>JFrog/artifact repository details and permissions.</w:t>
      </w:r>
    </w:p>
    <w:p>
      <w:pPr>
        <w:pStyle w:val="ListBullet"/>
      </w:pPr>
      <w:r>
        <w:t>HMRC service/team contacts and escalation paths.</w:t>
      </w:r>
    </w:p>
    <w:p>
      <w:pPr>
        <w:pStyle w:val="ListBullet"/>
      </w:pPr>
      <w:r>
        <w:t>Dynatrace application/dashboard links and alert ownership.</w:t>
      </w:r>
    </w:p>
    <w:p>
      <w:pPr>
        <w:pStyle w:val="ListBullet"/>
      </w:pPr>
      <w:r>
        <w:t>Known production incidents, outstanding defects and active change items.</w:t>
      </w:r>
    </w:p>
    <w:p>
      <w:pPr>
        <w:pStyle w:val="ListBullet"/>
      </w:pPr>
      <w:r>
        <w:t>Release calendar, deployment windows and rollback procedure.</w:t>
      </w:r>
    </w:p>
    <w:p>
      <w:pPr>
        <w:pStyle w:val="ListBullet"/>
      </w:pPr>
      <w:r>
        <w:t>External service/API dependency inventory.</w:t>
      </w:r>
    </w:p>
    <w:p>
      <w:pPr>
        <w:pStyle w:val="ListBullet"/>
      </w:pPr>
      <w:r>
        <w:t>Security/accessibility approval gates and evidence locations.</w:t>
      </w:r>
    </w:p>
    <w:p>
      <w:pPr>
        <w:pStyle w:val="Heading1"/>
      </w:pPr>
      <w:r>
        <w:t>8. Recommended Reading Order for Incoming Vendor</w:t>
      </w:r>
    </w:p>
    <w:p>
      <w:r>
        <w:t>1. 00 – Handover Index</w:t>
      </w:r>
    </w:p>
    <w:p>
      <w:r>
        <w:t>2. 01 – Project &amp; Application Overview</w:t>
      </w:r>
    </w:p>
    <w:p>
      <w:r>
        <w:t>3. 02 – Frontend Architecture &amp; Design</w:t>
      </w:r>
    </w:p>
    <w:p>
      <w:r>
        <w:t>4. 04 – Pega React SDK Integration</w:t>
      </w:r>
    </w:p>
    <w:p>
      <w:r>
        <w:t>5. 05 – Common Components &amp; Shared Services</w:t>
      </w:r>
    </w:p>
    <w:p>
      <w:r>
        <w:t>6. 06 – Authentication &amp; Security</w:t>
      </w:r>
    </w:p>
    <w:p>
      <w:r>
        <w:t>7. 07 – API &amp; Backend Integration</w:t>
      </w:r>
    </w:p>
    <w:p>
      <w:r>
        <w:t>8. 08 – Build, CI/CD &amp; Deployment</w:t>
      </w:r>
    </w:p>
    <w:p>
      <w:r>
        <w:t>9. 09 – Environment &amp; Configuration</w:t>
      </w:r>
    </w:p>
    <w:p>
      <w:r>
        <w:t>10. 10 – Testing &amp; Accessibility</w:t>
      </w:r>
    </w:p>
    <w:p>
      <w:r>
        <w:t>11. 11 – Monitoring &amp; Troubleshooting</w:t>
      </w:r>
    </w:p>
    <w:p>
      <w:r>
        <w:t>12. 12 – Known Issues &amp; Operational Runbook</w:t>
      </w:r>
    </w:p>
    <w:p>
      <w:r>
        <w:t>13. 13 – Architecture Decision Records</w:t>
      </w:r>
    </w:p>
    <w:p>
      <w:r>
        <w:t>14. 03 – React Development Guidelines (used as an ongoing developer reference)</w:t>
      </w:r>
    </w:p>
    <w:p>
      <w:pPr>
        <w:pStyle w:val="Heading1"/>
      </w:pPr>
      <w:r>
        <w:t>9. Next Document</w:t>
      </w:r>
    </w:p>
    <w:p>
      <w:r>
        <w:t>The next document to build is Document 01 – Project &amp; Application Overview. It will use the supplied codebase to document the application entry point, routing/journey map, major functional areas, Pega integration boundary, shared infrastructure, technology stack and high-level request/rendering flow.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HMRC IABD React Technical Handover – Document 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