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第六天总结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定位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定位模式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边偏移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定位模式</w:t>
      </w:r>
      <w:r>
        <w:rPr>
          <w:rFonts w:ascii="Helvetica Neue" w:hAnsi="Helvetica Neue"/>
          <w:rtl w:val="0"/>
          <w:lang w:val="zh-CN" w:eastAsia="zh-CN"/>
        </w:rPr>
        <w:t>: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静态定位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(static)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基本不用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相对定位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(relative)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相对于他在标准六中原来的位置来说的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不脱标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继续占有位置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42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绝对定位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(absolute)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祖先有定位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以祖先元素位置为基准点</w:t>
            </w:r>
            <w:r>
              <w:rPr>
                <w:rFonts w:ascii="Helvetica Neue" w:cs="Arial Unicode MS" w:hAnsi="Helvetica Neue" w:eastAsia="Arial Unicode MS"/>
                <w:rtl w:val="0"/>
              </w:rPr>
              <w:t>;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祖先元素没有定位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以浏览器左上角为基准点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完全脱标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子绝父相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固定定位</w:t>
            </w:r>
            <w:r>
              <w:rPr>
                <w:rFonts w:ascii="Helvetica Neue" w:cs="Arial Unicode MS" w:hAnsi="Helvetica Neue" w:eastAsia="Arial Unicode MS"/>
                <w:rtl w:val="0"/>
              </w:rPr>
              <w:t>(fixed)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以浏览器左上角为基准点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完全脱标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/>
      </w:pP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定位盒子水平居中</w:t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Helvetica Neue" w:hAnsi="Helvetica Neue"/>
          <w:rtl w:val="0"/>
          <w:lang w:val="zh-CN" w:eastAsia="zh-CN"/>
        </w:rPr>
        <w:t>left:50%;  margin-left: -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自己宽度</w:t>
      </w:r>
      <w:r>
        <w:rPr>
          <w:rFonts w:ascii="Helvetica Neue" w:hAnsi="Helvetica Neue"/>
          <w:rtl w:val="0"/>
          <w:lang w:val="zh-CN" w:eastAsia="zh-CN"/>
        </w:rPr>
        <w:t>) *0.5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堆叠顺序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定位的盒子是层叠在一起的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默认情况下后定位的盒子在最上面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如果要打乱顺序可以通过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: z-index:1;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默认值为</w:t>
      </w:r>
      <w:r>
        <w:rPr>
          <w:rFonts w:ascii="Helvetica Neue" w:hAnsi="Helvetica Neue"/>
          <w:rtl w:val="0"/>
          <w:lang w:val="zh-CN" w:eastAsia="zh-CN"/>
        </w:rPr>
        <w:t>0;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绝对定位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固定定位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浮动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都将元素转换为类似行内块的元素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浮动元素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绝对定位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固定定位的元素都不会发生外边距合并的问题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设置了定位的盒子由于变为了行内块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所以一般是要给宽度的</w:t>
      </w:r>
      <w:r>
        <w:rPr>
          <w:rFonts w:ascii="Helvetica Neue" w:hAnsi="Helvetica Neue"/>
          <w:rtl w:val="0"/>
          <w:lang w:val="zh-CN" w:eastAsia="zh-CN"/>
        </w:rPr>
        <w:t>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