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1B365D"/>
          <w:sz w:val="56"/>
        </w:rPr>
        <w:t>FinAuditPro</w:t>
      </w:r>
    </w:p>
    <w:p>
      <w:r>
        <w:rPr>
          <w:rFonts w:ascii="Calibri" w:hAnsi="Calibri"/>
          <w:color w:val="008080"/>
          <w:sz w:val="32"/>
        </w:rPr>
        <w:t>Real-World Production System Requirements Specification</w:t>
      </w:r>
    </w:p>
    <w:p>
      <w:r>
        <w:rPr>
          <w:rFonts w:ascii="Calibri" w:hAnsi="Calibri"/>
          <w:i/>
          <w:color w:val="666666"/>
          <w:sz w:val="19"/>
        </w:rPr>
        <w:t>Document Version: 1.0.0  |  Classification: Executive / Technical  |  Date: July 2026</w:t>
      </w:r>
    </w:p>
    <w:p>
      <w:pPr>
        <w:spacing w:after="240"/>
      </w:pPr>
    </w:p>
    <w:p>
      <w:pPr>
        <w:keepNext/>
        <w:spacing w:before="320" w:after="120"/>
      </w:pPr>
      <w:r>
        <w:rPr>
          <w:rFonts w:ascii="Calibri" w:hAnsi="Calibri"/>
          <w:b/>
          <w:color w:val="1B365D"/>
          <w:sz w:val="36"/>
        </w:rPr>
        <w:t>1. Executive Overview</w:t>
      </w:r>
    </w:p>
    <w:p>
      <w:pPr>
        <w:spacing w:after="160"/>
      </w:pPr>
      <w:r>
        <w:t>FinAuditPro is a next-generation AI-powered executive intelligence platform designed specifically for Chartered Accountants (CAs), statutory auditors, and enterprise financial compliance teams. Built with a 100% air-gapped, offline-first philosophy, FinAuditPro guarantees that sensitive financial ledgers, tax filings, and client audit data never transmit across public cloud networks.</w:t>
      </w:r>
    </w:p>
    <w:p>
      <w:pPr>
        <w:spacing w:after="240"/>
      </w:pPr>
      <w:r>
        <w:t>This document defines the real-world infrastructure, hardware, software, security, network, and regulatory compliance specifications necessary to successfully deploy FinAuditPro across desktop single-user workstations and multi-auditor enterprise server environments.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Pr>
          <w:p>
            <w:pPr>
              <w:spacing w:after="0" w:line="276" w:lineRule="auto"/>
            </w:pPr>
            <w:r>
              <w:rPr>
                <w:b/>
                <w:color w:val="1B365D"/>
              </w:rPr>
              <w:t xml:space="preserve">KEY ARCHITECTURAL HIGHLIGHT: </w:t>
            </w:r>
            <w:r>
              <w:rPr>
                <w:color w:val="333333"/>
              </w:rPr>
              <w:t>FinAuditPro executes local Retrieval-Augmented Generation (RAG) using Ollama (Llama 3.2 / DeepSeek-R1), local FAISS vector search, and multi-engine OCR entirely on on-premise hardware without external API key dependencies.</w:t>
            </w:r>
          </w:p>
        </w:tc>
      </w:tr>
    </w:tbl>
    <w:p>
      <w:pPr>
        <w:spacing w:after="120"/>
      </w:pPr>
    </w:p>
    <w:p>
      <w:pPr>
        <w:keepNext/>
        <w:spacing w:before="320" w:after="120"/>
      </w:pPr>
      <w:r>
        <w:rPr>
          <w:rFonts w:ascii="Calibri" w:hAnsi="Calibri"/>
          <w:b/>
          <w:color w:val="1B365D"/>
          <w:sz w:val="36"/>
        </w:rPr>
        <w:t>2. Deployment Topologies</w:t>
      </w:r>
    </w:p>
    <w:p>
      <w:pPr>
        <w:keepNext/>
        <w:spacing w:before="240" w:after="80"/>
      </w:pPr>
      <w:r>
        <w:rPr>
          <w:rFonts w:ascii="Calibri" w:hAnsi="Calibri"/>
          <w:b/>
          <w:color w:val="008080"/>
          <w:sz w:val="28"/>
        </w:rPr>
        <w:t>2.1 Option A: Standalone Air-Gapped Desktop Workstation</w:t>
      </w:r>
    </w:p>
    <w:p>
      <w:pPr>
        <w:spacing w:after="160"/>
      </w:pPr>
      <w:r>
        <w:t>Ideal for independent Chartered Accountants, sole practitioners, and small auditing firms operating on standalone laptops or workstations. All components—including the PySide6 Qt GUI, SQLite WAL database, local vector store (FAISS), and Ollama AI daemon—run on a single machine.</w:t>
      </w:r>
    </w:p>
    <w:p>
      <w:pPr>
        <w:keepNext/>
        <w:spacing w:before="240" w:after="80"/>
      </w:pPr>
      <w:r>
        <w:rPr>
          <w:rFonts w:ascii="Calibri" w:hAnsi="Calibri"/>
          <w:b/>
          <w:color w:val="008080"/>
          <w:sz w:val="28"/>
        </w:rPr>
        <w:t>2.2 Option B: Enterprise Multi-User Intranet Server</w:t>
      </w:r>
    </w:p>
    <w:p>
      <w:pPr>
        <w:spacing w:after="240"/>
      </w:pPr>
      <w:r>
        <w:t>Engineered for corporate audit departments and large CA firms with multiple concurrent auditors. Client desktop instances connect over a secure local area network (LAN/VLAN) to a central PostgreSQL database server and a dedicated GPU server hosting the Ollama local AI daemon and shared FAISS vector indices.</w:t>
      </w:r>
    </w:p>
    <w:p>
      <w:pPr>
        <w:keepNext/>
        <w:spacing w:before="320" w:after="120"/>
      </w:pPr>
      <w:r>
        <w:rPr>
          <w:rFonts w:ascii="Calibri" w:hAnsi="Calibri"/>
          <w:b/>
          <w:color w:val="1B365D"/>
          <w:sz w:val="36"/>
        </w:rPr>
        <w:t>3. Hardware Specifications</w:t>
      </w:r>
    </w:p>
    <w:p>
      <w:pPr>
        <w:keepNext/>
        <w:spacing w:before="240" w:after="80"/>
      </w:pPr>
      <w:r>
        <w:rPr>
          <w:rFonts w:ascii="Calibri" w:hAnsi="Calibri"/>
          <w:b/>
          <w:color w:val="008080"/>
          <w:sz w:val="28"/>
        </w:rPr>
        <w:t>3.1 Client Workstation Hardware Requirements (Auditor Laptops/Desktops)</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3120"/>
            <w:shd w:fill="1B365D"/>
            <w:tcMar>
              <w:top w:w="120" w:type="dxa"/>
              <w:bottom w:w="120" w:type="dxa"/>
              <w:left w:w="150" w:type="dxa"/>
              <w:right w:w="150" w:type="dxa"/>
            </w:tcMar>
          </w:tcPr>
          <w:p>
            <w:pPr>
              <w:jc w:val="left"/>
            </w:pPr>
            <w:r>
              <w:rPr>
                <w:b/>
                <w:color w:val="FFFFFF"/>
              </w:rPr>
              <w:t>Hardware Component</w:t>
            </w:r>
          </w:p>
        </w:tc>
        <w:tc>
          <w:tcPr>
            <w:tcW w:type="dxa" w:w="3120"/>
            <w:shd w:fill="1B365D"/>
            <w:tcMar>
              <w:top w:w="120" w:type="dxa"/>
              <w:bottom w:w="120" w:type="dxa"/>
              <w:left w:w="150" w:type="dxa"/>
              <w:right w:w="150" w:type="dxa"/>
            </w:tcMar>
          </w:tcPr>
          <w:p>
            <w:pPr>
              <w:jc w:val="left"/>
            </w:pPr>
            <w:r>
              <w:rPr>
                <w:b/>
                <w:color w:val="FFFFFF"/>
              </w:rPr>
              <w:t>Minimum Requirement</w:t>
            </w:r>
          </w:p>
        </w:tc>
        <w:tc>
          <w:tcPr>
            <w:tcW w:type="dxa" w:w="3120"/>
            <w:shd w:fill="1B365D"/>
            <w:tcMar>
              <w:top w:w="120" w:type="dxa"/>
              <w:bottom w:w="120" w:type="dxa"/>
              <w:left w:w="150" w:type="dxa"/>
              <w:right w:w="150" w:type="dxa"/>
            </w:tcMar>
          </w:tcPr>
          <w:p>
            <w:pPr>
              <w:jc w:val="left"/>
            </w:pPr>
            <w:r>
              <w:rPr>
                <w:b/>
                <w:color w:val="FFFFFF"/>
              </w:rPr>
              <w:t>Recommended (Optimal Performance)</w:t>
            </w:r>
          </w:p>
        </w:tc>
      </w:tr>
      <w:tr>
        <w:tc>
          <w:tcPr>
            <w:tcW w:type="dxa" w:w="3120"/>
            <w:shd w:fill="F4F6F9"/>
            <w:tcMar>
              <w:top w:w="100" w:type="dxa"/>
              <w:bottom w:w="100" w:type="dxa"/>
              <w:left w:w="150" w:type="dxa"/>
              <w:right w:w="150" w:type="dxa"/>
            </w:tcMar>
          </w:tcPr>
          <w:p>
            <w:r>
              <w:rPr>
                <w:b/>
              </w:rPr>
              <w:t>Processor (CPU)</w:t>
            </w:r>
          </w:p>
        </w:tc>
        <w:tc>
          <w:tcPr>
            <w:tcW w:type="dxa" w:w="3120"/>
            <w:shd w:fill="F4F6F9"/>
            <w:tcMar>
              <w:top w:w="100" w:type="dxa"/>
              <w:bottom w:w="100" w:type="dxa"/>
              <w:left w:w="150" w:type="dxa"/>
              <w:right w:w="150" w:type="dxa"/>
            </w:tcMar>
          </w:tcPr>
          <w:p>
            <w:r>
              <w:t>Intel Core i5 (10th Gen+) / AMD Ryzen 5 3000+ (4 cores, 2.5 GHz+)</w:t>
            </w:r>
          </w:p>
        </w:tc>
        <w:tc>
          <w:tcPr>
            <w:tcW w:type="dxa" w:w="3120"/>
            <w:shd w:fill="F4F6F9"/>
            <w:tcMar>
              <w:top w:w="100" w:type="dxa"/>
              <w:bottom w:w="100" w:type="dxa"/>
              <w:left w:w="150" w:type="dxa"/>
              <w:right w:w="150" w:type="dxa"/>
            </w:tcMar>
          </w:tcPr>
          <w:p>
            <w:r>
              <w:t>Intel Core i7/i9 (12th Gen+) / AMD Ryzen 7/9 / Apple Silicon (M1/M2/M3/M4 Pro/Max)</w:t>
            </w:r>
          </w:p>
        </w:tc>
      </w:tr>
      <w:tr>
        <w:tc>
          <w:tcPr>
            <w:tcW w:type="dxa" w:w="3120"/>
            <w:shd w:fill="FFFFFF"/>
            <w:tcMar>
              <w:top w:w="100" w:type="dxa"/>
              <w:bottom w:w="100" w:type="dxa"/>
              <w:left w:w="150" w:type="dxa"/>
              <w:right w:w="150" w:type="dxa"/>
            </w:tcMar>
          </w:tcPr>
          <w:p>
            <w:r>
              <w:rPr>
                <w:b/>
              </w:rPr>
              <w:t>System Memory (RAM)</w:t>
            </w:r>
          </w:p>
        </w:tc>
        <w:tc>
          <w:tcPr>
            <w:tcW w:type="dxa" w:w="3120"/>
            <w:shd w:fill="FFFFFF"/>
            <w:tcMar>
              <w:top w:w="100" w:type="dxa"/>
              <w:bottom w:w="100" w:type="dxa"/>
              <w:left w:w="150" w:type="dxa"/>
              <w:right w:w="150" w:type="dxa"/>
            </w:tcMar>
          </w:tcPr>
          <w:p>
            <w:r>
              <w:t>16 GB DDR4 (Mandatory for local LLM inference)</w:t>
            </w:r>
          </w:p>
        </w:tc>
        <w:tc>
          <w:tcPr>
            <w:tcW w:type="dxa" w:w="3120"/>
            <w:shd w:fill="FFFFFF"/>
            <w:tcMar>
              <w:top w:w="100" w:type="dxa"/>
              <w:bottom w:w="100" w:type="dxa"/>
              <w:left w:w="150" w:type="dxa"/>
              <w:right w:w="150" w:type="dxa"/>
            </w:tcMar>
          </w:tcPr>
          <w:p>
            <w:r>
              <w:t>32 GB – 64 GB DDR4/DDR5 / Apple Unified Memory</w:t>
            </w:r>
          </w:p>
        </w:tc>
      </w:tr>
      <w:tr>
        <w:tc>
          <w:tcPr>
            <w:tcW w:type="dxa" w:w="3120"/>
            <w:shd w:fill="F4F6F9"/>
            <w:tcMar>
              <w:top w:w="100" w:type="dxa"/>
              <w:bottom w:w="100" w:type="dxa"/>
              <w:left w:w="150" w:type="dxa"/>
              <w:right w:w="150" w:type="dxa"/>
            </w:tcMar>
          </w:tcPr>
          <w:p>
            <w:r>
              <w:rPr>
                <w:b/>
              </w:rPr>
              <w:t>Storage (Disk)</w:t>
            </w:r>
          </w:p>
        </w:tc>
        <w:tc>
          <w:tcPr>
            <w:tcW w:type="dxa" w:w="3120"/>
            <w:shd w:fill="F4F6F9"/>
            <w:tcMar>
              <w:top w:w="100" w:type="dxa"/>
              <w:bottom w:w="100" w:type="dxa"/>
              <w:left w:w="150" w:type="dxa"/>
              <w:right w:w="150" w:type="dxa"/>
            </w:tcMar>
          </w:tcPr>
          <w:p>
            <w:r>
              <w:t>20 GB free space on SSD (SATA or NVMe)</w:t>
            </w:r>
          </w:p>
        </w:tc>
        <w:tc>
          <w:tcPr>
            <w:tcW w:type="dxa" w:w="3120"/>
            <w:shd w:fill="F4F6F9"/>
            <w:tcMar>
              <w:top w:w="100" w:type="dxa"/>
              <w:bottom w:w="100" w:type="dxa"/>
              <w:left w:w="150" w:type="dxa"/>
              <w:right w:w="150" w:type="dxa"/>
            </w:tcMar>
          </w:tcPr>
          <w:p>
            <w:r>
              <w:t>100 GB+ NVMe M.2 SSD (Read speed ≥ 3500 MB/s)</w:t>
            </w:r>
          </w:p>
        </w:tc>
      </w:tr>
      <w:tr>
        <w:tc>
          <w:tcPr>
            <w:tcW w:type="dxa" w:w="3120"/>
            <w:shd w:fill="FFFFFF"/>
            <w:tcMar>
              <w:top w:w="100" w:type="dxa"/>
              <w:bottom w:w="100" w:type="dxa"/>
              <w:left w:w="150" w:type="dxa"/>
              <w:right w:w="150" w:type="dxa"/>
            </w:tcMar>
          </w:tcPr>
          <w:p>
            <w:r>
              <w:rPr>
                <w:b/>
              </w:rPr>
              <w:t>Graphics (GPU)</w:t>
            </w:r>
          </w:p>
        </w:tc>
        <w:tc>
          <w:tcPr>
            <w:tcW w:type="dxa" w:w="3120"/>
            <w:shd w:fill="FFFFFF"/>
            <w:tcMar>
              <w:top w:w="100" w:type="dxa"/>
              <w:bottom w:w="100" w:type="dxa"/>
              <w:left w:w="150" w:type="dxa"/>
              <w:right w:w="150" w:type="dxa"/>
            </w:tcMar>
          </w:tcPr>
          <w:p>
            <w:r>
              <w:t>Integrated Intel Iris Xe / AMD Radeon</w:t>
            </w:r>
          </w:p>
        </w:tc>
        <w:tc>
          <w:tcPr>
            <w:tcW w:type="dxa" w:w="3120"/>
            <w:shd w:fill="FFFFFF"/>
            <w:tcMar>
              <w:top w:w="100" w:type="dxa"/>
              <w:bottom w:w="100" w:type="dxa"/>
              <w:left w:w="150" w:type="dxa"/>
              <w:right w:w="150" w:type="dxa"/>
            </w:tcMar>
          </w:tcPr>
          <w:p>
            <w:r>
              <w:t>Dedicated NVIDIA GPU with 8GB+ VRAM (RTX 3060/4060+) or Apple Silicon GPU</w:t>
            </w:r>
          </w:p>
        </w:tc>
      </w:tr>
      <w:tr>
        <w:tc>
          <w:tcPr>
            <w:tcW w:type="dxa" w:w="3120"/>
            <w:shd w:fill="F4F6F9"/>
            <w:tcMar>
              <w:top w:w="100" w:type="dxa"/>
              <w:bottom w:w="100" w:type="dxa"/>
              <w:left w:w="150" w:type="dxa"/>
              <w:right w:w="150" w:type="dxa"/>
            </w:tcMar>
          </w:tcPr>
          <w:p>
            <w:r>
              <w:rPr>
                <w:b/>
              </w:rPr>
              <w:t>Display Resolution</w:t>
            </w:r>
          </w:p>
        </w:tc>
        <w:tc>
          <w:tcPr>
            <w:tcW w:type="dxa" w:w="3120"/>
            <w:shd w:fill="F4F6F9"/>
            <w:tcMar>
              <w:top w:w="100" w:type="dxa"/>
              <w:bottom w:w="100" w:type="dxa"/>
              <w:left w:w="150" w:type="dxa"/>
              <w:right w:w="150" w:type="dxa"/>
            </w:tcMar>
          </w:tcPr>
          <w:p>
            <w:r>
              <w:t>1920 × 1080 (Full HD)</w:t>
            </w:r>
          </w:p>
        </w:tc>
        <w:tc>
          <w:tcPr>
            <w:tcW w:type="dxa" w:w="3120"/>
            <w:shd w:fill="F4F6F9"/>
            <w:tcMar>
              <w:top w:w="100" w:type="dxa"/>
              <w:bottom w:w="100" w:type="dxa"/>
              <w:left w:w="150" w:type="dxa"/>
              <w:right w:w="150" w:type="dxa"/>
            </w:tcMar>
          </w:tcPr>
          <w:p>
            <w:r>
              <w:t>Dual Monitors / 2K+ (2560 × 1440) resolution</w:t>
            </w:r>
          </w:p>
        </w:tc>
      </w:tr>
    </w:tbl>
    <w:p>
      <w:pPr>
        <w:spacing w:after="200"/>
      </w:pPr>
    </w:p>
    <w:p>
      <w:pPr>
        <w:keepNext/>
        <w:spacing w:before="240" w:after="80"/>
      </w:pPr>
      <w:r>
        <w:rPr>
          <w:rFonts w:ascii="Calibri" w:hAnsi="Calibri"/>
          <w:b/>
          <w:color w:val="008080"/>
          <w:sz w:val="28"/>
        </w:rPr>
        <w:t>3.2 Central AI &amp; Analytics Server Hardware (Enterprise Tier)</w:t>
      </w:r>
    </w:p>
    <w:tbl>
      <w:tblPr>
        <w:tblW w:type="auto" w:w="0"/>
        <w:jc w:val="center"/>
        <w:tblLook w:firstColumn="1" w:firstRow="1" w:lastColumn="0" w:lastRow="0" w:noHBand="0" w:noVBand="1" w:val="04A0"/>
        <w:tblBorders>
          <w:top w:val="single" w:sz="4" w:space="0" w:color="D3D3D3"/>
          <w:left w:val="none"/>
          <w:bottom w:val="single" w:sz="4" w:space="0" w:color="D3D3D3"/>
          <w:right w:val="none"/>
          <w:insideH w:val="single" w:sz="4" w:space="0" w:color="D3D3D3"/>
          <w:insideV w:val="none"/>
        </w:tblBorders>
      </w:tblPr>
      <w:tblGrid>
        <w:gridCol w:w="3120"/>
        <w:gridCol w:w="3120"/>
        <w:gridCol w:w="3120"/>
      </w:tblGrid>
      <w:tr>
        <w:tc>
          <w:tcPr>
            <w:tcW w:type="dxa" w:w="3120"/>
            <w:shd w:fill="1B365D"/>
            <w:tcMar>
              <w:top w:w="120" w:type="dxa"/>
              <w:bottom w:w="120" w:type="dxa"/>
              <w:left w:w="150" w:type="dxa"/>
              <w:right w:w="150" w:type="dxa"/>
            </w:tcMar>
          </w:tcPr>
          <w:p>
            <w:r>
              <w:rPr>
                <w:b/>
                <w:color w:val="FFFFFF"/>
              </w:rPr>
              <w:t>Server Component</w:t>
            </w:r>
          </w:p>
        </w:tc>
        <w:tc>
          <w:tcPr>
            <w:tcW w:type="dxa" w:w="3120"/>
            <w:shd w:fill="1B365D"/>
            <w:tcMar>
              <w:top w:w="120" w:type="dxa"/>
              <w:bottom w:w="120" w:type="dxa"/>
              <w:left w:w="150" w:type="dxa"/>
              <w:right w:w="150" w:type="dxa"/>
            </w:tcMar>
          </w:tcPr>
          <w:p>
            <w:r>
              <w:rPr>
                <w:b/>
                <w:color w:val="FFFFFF"/>
              </w:rPr>
              <w:t>Minimum Server Spec (7B–8B LLM Models)</w:t>
            </w:r>
          </w:p>
        </w:tc>
        <w:tc>
          <w:tcPr>
            <w:tcW w:type="dxa" w:w="3120"/>
            <w:shd w:fill="1B365D"/>
            <w:tcMar>
              <w:top w:w="120" w:type="dxa"/>
              <w:bottom w:w="120" w:type="dxa"/>
              <w:left w:w="150" w:type="dxa"/>
              <w:right w:w="150" w:type="dxa"/>
            </w:tcMar>
          </w:tcPr>
          <w:p>
            <w:r>
              <w:rPr>
                <w:b/>
                <w:color w:val="FFFFFF"/>
              </w:rPr>
              <w:t>Recommended Server Spec (14B–70B Models &amp; Multi-User)</w:t>
            </w:r>
          </w:p>
        </w:tc>
      </w:tr>
      <w:tr>
        <w:tc>
          <w:tcPr>
            <w:tcW w:type="dxa" w:w="3120"/>
            <w:shd w:fill="F4F6F9"/>
            <w:tcMar>
              <w:top w:w="100" w:type="dxa"/>
              <w:bottom w:w="100" w:type="dxa"/>
              <w:left w:w="150" w:type="dxa"/>
              <w:right w:w="150" w:type="dxa"/>
            </w:tcMar>
          </w:tcPr>
          <w:p>
            <w:r>
              <w:rPr>
                <w:b/>
              </w:rPr>
              <w:t>Server CPU</w:t>
            </w:r>
          </w:p>
        </w:tc>
        <w:tc>
          <w:tcPr>
            <w:tcW w:type="dxa" w:w="3120"/>
            <w:shd w:fill="F4F6F9"/>
            <w:tcMar>
              <w:top w:w="100" w:type="dxa"/>
              <w:bottom w:w="100" w:type="dxa"/>
              <w:left w:w="150" w:type="dxa"/>
              <w:right w:w="150" w:type="dxa"/>
            </w:tcMar>
          </w:tcPr>
          <w:p>
            <w:r>
              <w:t>Intel Xeon Silver / AMD EPYC (8+ Cores)</w:t>
            </w:r>
          </w:p>
        </w:tc>
        <w:tc>
          <w:tcPr>
            <w:tcW w:type="dxa" w:w="3120"/>
            <w:shd w:fill="F4F6F9"/>
            <w:tcMar>
              <w:top w:w="100" w:type="dxa"/>
              <w:bottom w:w="100" w:type="dxa"/>
              <w:left w:w="150" w:type="dxa"/>
              <w:right w:w="150" w:type="dxa"/>
            </w:tcMar>
          </w:tcPr>
          <w:p>
            <w:r>
              <w:t>Intel Xeon Gold / AMD EPYC (16–32 Cores)</w:t>
            </w:r>
          </w:p>
        </w:tc>
      </w:tr>
      <w:tr>
        <w:tc>
          <w:tcPr>
            <w:tcW w:type="dxa" w:w="3120"/>
            <w:shd w:fill="FFFFFF"/>
            <w:tcMar>
              <w:top w:w="100" w:type="dxa"/>
              <w:bottom w:w="100" w:type="dxa"/>
              <w:left w:w="150" w:type="dxa"/>
              <w:right w:w="150" w:type="dxa"/>
            </w:tcMar>
          </w:tcPr>
          <w:p>
            <w:r>
              <w:rPr>
                <w:b/>
              </w:rPr>
              <w:t>System RAM</w:t>
            </w:r>
          </w:p>
        </w:tc>
        <w:tc>
          <w:tcPr>
            <w:tcW w:type="dxa" w:w="3120"/>
            <w:shd w:fill="FFFFFF"/>
            <w:tcMar>
              <w:top w:w="100" w:type="dxa"/>
              <w:bottom w:w="100" w:type="dxa"/>
              <w:left w:w="150" w:type="dxa"/>
              <w:right w:w="150" w:type="dxa"/>
            </w:tcMar>
          </w:tcPr>
          <w:p>
            <w:r>
              <w:t>32 GB DDR4 ECC RAM</w:t>
            </w:r>
          </w:p>
        </w:tc>
        <w:tc>
          <w:tcPr>
            <w:tcW w:type="dxa" w:w="3120"/>
            <w:shd w:fill="FFFFFF"/>
            <w:tcMar>
              <w:top w:w="100" w:type="dxa"/>
              <w:bottom w:w="100" w:type="dxa"/>
              <w:left w:w="150" w:type="dxa"/>
              <w:right w:w="150" w:type="dxa"/>
            </w:tcMar>
          </w:tcPr>
          <w:p>
            <w:r>
              <w:t>128 GB+ DDR5 ECC RAM</w:t>
            </w:r>
          </w:p>
        </w:tc>
      </w:tr>
      <w:tr>
        <w:tc>
          <w:tcPr>
            <w:tcW w:type="dxa" w:w="3120"/>
            <w:shd w:fill="F4F6F9"/>
            <w:tcMar>
              <w:top w:w="100" w:type="dxa"/>
              <w:bottom w:w="100" w:type="dxa"/>
              <w:left w:w="150" w:type="dxa"/>
              <w:right w:w="150" w:type="dxa"/>
            </w:tcMar>
          </w:tcPr>
          <w:p>
            <w:r>
              <w:rPr>
                <w:b/>
              </w:rPr>
              <w:t>GPU Acceleration</w:t>
            </w:r>
          </w:p>
        </w:tc>
        <w:tc>
          <w:tcPr>
            <w:tcW w:type="dxa" w:w="3120"/>
            <w:shd w:fill="F4F6F9"/>
            <w:tcMar>
              <w:top w:w="100" w:type="dxa"/>
              <w:bottom w:w="100" w:type="dxa"/>
              <w:left w:w="150" w:type="dxa"/>
              <w:right w:w="150" w:type="dxa"/>
            </w:tcMar>
          </w:tcPr>
          <w:p>
            <w:r>
              <w:t>1× NVIDIA RTX 4090 / A4000 (16GB–24GB VRAM)</w:t>
            </w:r>
          </w:p>
        </w:tc>
        <w:tc>
          <w:tcPr>
            <w:tcW w:type="dxa" w:w="3120"/>
            <w:shd w:fill="F4F6F9"/>
            <w:tcMar>
              <w:top w:w="100" w:type="dxa"/>
              <w:bottom w:w="100" w:type="dxa"/>
              <w:left w:w="150" w:type="dxa"/>
              <w:right w:w="150" w:type="dxa"/>
            </w:tcMar>
          </w:tcPr>
          <w:p>
            <w:r>
              <w:t>2×–4× NVIDIA A100 / H100 / RTX 6000 Ada (48GB+ VRAM total)</w:t>
            </w:r>
          </w:p>
        </w:tc>
      </w:tr>
      <w:tr>
        <w:tc>
          <w:tcPr>
            <w:tcW w:type="dxa" w:w="3120"/>
            <w:shd w:fill="FFFFFF"/>
            <w:tcMar>
              <w:top w:w="100" w:type="dxa"/>
              <w:bottom w:w="100" w:type="dxa"/>
              <w:left w:w="150" w:type="dxa"/>
              <w:right w:w="150" w:type="dxa"/>
            </w:tcMar>
          </w:tcPr>
          <w:p>
            <w:r>
              <w:rPr>
                <w:b/>
              </w:rPr>
              <w:t>Storage Subsystem</w:t>
            </w:r>
          </w:p>
        </w:tc>
        <w:tc>
          <w:tcPr>
            <w:tcW w:type="dxa" w:w="3120"/>
            <w:shd w:fill="FFFFFF"/>
            <w:tcMar>
              <w:top w:w="100" w:type="dxa"/>
              <w:bottom w:w="100" w:type="dxa"/>
              <w:left w:w="150" w:type="dxa"/>
              <w:right w:w="150" w:type="dxa"/>
            </w:tcMar>
          </w:tcPr>
          <w:p>
            <w:r>
              <w:t>500 GB Enterprise NVMe SSD (RAID-1)</w:t>
            </w:r>
          </w:p>
        </w:tc>
        <w:tc>
          <w:tcPr>
            <w:tcW w:type="dxa" w:w="3120"/>
            <w:shd w:fill="FFFFFF"/>
            <w:tcMar>
              <w:top w:w="100" w:type="dxa"/>
              <w:bottom w:w="100" w:type="dxa"/>
              <w:left w:w="150" w:type="dxa"/>
              <w:right w:w="150" w:type="dxa"/>
            </w:tcMar>
          </w:tcPr>
          <w:p>
            <w:r>
              <w:t>2 TB RAID-10 NVMe Enterprise SSD</w:t>
            </w:r>
          </w:p>
        </w:tc>
      </w:tr>
      <w:tr>
        <w:tc>
          <w:tcPr>
            <w:tcW w:type="dxa" w:w="3120"/>
            <w:shd w:fill="F4F6F9"/>
            <w:tcMar>
              <w:top w:w="100" w:type="dxa"/>
              <w:bottom w:w="100" w:type="dxa"/>
              <w:left w:w="150" w:type="dxa"/>
              <w:right w:w="150" w:type="dxa"/>
            </w:tcMar>
          </w:tcPr>
          <w:p>
            <w:r>
              <w:rPr>
                <w:b/>
              </w:rPr>
              <w:t>Network Controller</w:t>
            </w:r>
          </w:p>
        </w:tc>
        <w:tc>
          <w:tcPr>
            <w:tcW w:type="dxa" w:w="3120"/>
            <w:shd w:fill="F4F6F9"/>
            <w:tcMar>
              <w:top w:w="100" w:type="dxa"/>
              <w:bottom w:w="100" w:type="dxa"/>
              <w:left w:w="150" w:type="dxa"/>
              <w:right w:w="150" w:type="dxa"/>
            </w:tcMar>
          </w:tcPr>
          <w:p>
            <w:r>
              <w:t>1 Gbps Enterprise NIC</w:t>
            </w:r>
          </w:p>
        </w:tc>
        <w:tc>
          <w:tcPr>
            <w:tcW w:type="dxa" w:w="3120"/>
            <w:shd w:fill="F4F6F9"/>
            <w:tcMar>
              <w:top w:w="100" w:type="dxa"/>
              <w:bottom w:w="100" w:type="dxa"/>
              <w:left w:w="150" w:type="dxa"/>
              <w:right w:w="150" w:type="dxa"/>
            </w:tcMar>
          </w:tcPr>
          <w:p>
            <w:r>
              <w:t>10 Gbps Enterprise Dual-Port NIC</w:t>
            </w:r>
          </w:p>
        </w:tc>
      </w:tr>
    </w:tbl>
    <w:p>
      <w:pPr>
        <w:spacing w:after="240"/>
      </w:pPr>
    </w:p>
    <w:p>
      <w:pPr>
        <w:keepNext/>
        <w:spacing w:before="320" w:after="120"/>
      </w:pPr>
      <w:r>
        <w:rPr>
          <w:rFonts w:ascii="Calibri" w:hAnsi="Calibri"/>
          <w:b/>
          <w:color w:val="1B365D"/>
          <w:sz w:val="36"/>
        </w:rPr>
        <w:t>4. Software Stack &amp; Environment Requirements</w:t>
      </w:r>
    </w:p>
    <w:p>
      <w:pPr>
        <w:pStyle w:val="ListBullet"/>
        <w:spacing w:after="80"/>
      </w:pPr>
      <w:r>
        <w:rPr>
          <w:b/>
          <w:color w:val="1B365D"/>
        </w:rPr>
        <w:t xml:space="preserve">Operating Systems: </w:t>
      </w:r>
      <w:r>
        <w:t>Windows 10/11 (64-bit, Build 19041+), Windows Server 2022, macOS 12+ (Apple Silicon/Intel), or Linux (Ubuntu 22.04/24.04 LTS, RHEL 8/9).</w:t>
      </w:r>
    </w:p>
    <w:p>
      <w:pPr>
        <w:pStyle w:val="ListBullet"/>
        <w:spacing w:after="80"/>
      </w:pPr>
      <w:r>
        <w:rPr>
          <w:b/>
          <w:color w:val="1B365D"/>
        </w:rPr>
        <w:t xml:space="preserve">Python Core Runtime: </w:t>
      </w:r>
      <w:r>
        <w:t>Python 3.11 or 3.12 (64-bit).</w:t>
      </w:r>
    </w:p>
    <w:p>
      <w:pPr>
        <w:pStyle w:val="ListBullet"/>
        <w:spacing w:after="80"/>
      </w:pPr>
      <w:r>
        <w:rPr>
          <w:b/>
          <w:color w:val="1B365D"/>
        </w:rPr>
        <w:t xml:space="preserve">GUI Framework: </w:t>
      </w:r>
      <w:r>
        <w:t>PySide6 (Qt 6.7 / 6.8+).</w:t>
      </w:r>
    </w:p>
    <w:p>
      <w:pPr>
        <w:pStyle w:val="ListBullet"/>
        <w:spacing w:after="80"/>
      </w:pPr>
      <w:r>
        <w:rPr>
          <w:b/>
          <w:color w:val="1B365D"/>
        </w:rPr>
        <w:t xml:space="preserve">Database Systems: </w:t>
      </w:r>
      <w:r>
        <w:t>SQLite 3.35+ with Write-Ahead Logging (WAL) for Desktop; PostgreSQL 15/16 for Enterprise deployment.</w:t>
      </w:r>
    </w:p>
    <w:p>
      <w:pPr>
        <w:pStyle w:val="ListBullet"/>
        <w:spacing w:after="80"/>
      </w:pPr>
      <w:r>
        <w:rPr>
          <w:b/>
          <w:color w:val="1B365D"/>
        </w:rPr>
        <w:t xml:space="preserve">AI Inference Engine: </w:t>
      </w:r>
      <w:r>
        <w:t>Ollama Daemon v0.3.3+ executing models such as llama3.2 (3B/8B), deepseek-r1 (7B/8B/14B), or mistral-7b.</w:t>
      </w:r>
    </w:p>
    <w:p>
      <w:pPr>
        <w:pStyle w:val="ListBullet"/>
        <w:spacing w:after="80"/>
      </w:pPr>
      <w:r>
        <w:rPr>
          <w:b/>
          <w:color w:val="1B365D"/>
        </w:rPr>
        <w:t xml:space="preserve">Vector Search &amp; Embeddings: </w:t>
      </w:r>
      <w:r>
        <w:t>FAISS (faiss-cpu / faiss-gpu v1.8.0) and SentenceTransformers (all-MiniLM-L6-v2 / bge-small-en-v1.5).</w:t>
      </w:r>
    </w:p>
    <w:p>
      <w:pPr>
        <w:pStyle w:val="ListBullet"/>
        <w:spacing w:after="80"/>
      </w:pPr>
      <w:r>
        <w:rPr>
          <w:b/>
          <w:color w:val="1B365D"/>
        </w:rPr>
        <w:t xml:space="preserve">Document Parsing &amp; OCR: </w:t>
      </w:r>
      <w:r>
        <w:t>PyPDF (v4.3+), pdfplumber (v0.11+), Tesseract OCR (v5.3+), and PaddleOCR (v2.7+).</w:t>
      </w:r>
    </w:p>
    <w:p>
      <w:pPr>
        <w:pStyle w:val="ListBullet"/>
        <w:spacing w:after="80"/>
      </w:pPr>
      <w:r>
        <w:rPr>
          <w:b/>
          <w:color w:val="1B365D"/>
        </w:rPr>
        <w:t xml:space="preserve">Reporting &amp; Exporters: </w:t>
      </w:r>
      <w:r>
        <w:t>ReportLab (v4.2+) for digitally signed PDF Audit Packs; OpenPyXL (v3.1+) for Excel financial ledgers.</w:t>
      </w:r>
    </w:p>
    <w:p>
      <w:pPr>
        <w:spacing w:after="160"/>
      </w:pPr>
    </w:p>
    <w:p>
      <w:pPr>
        <w:keepNext/>
        <w:spacing w:before="320" w:after="120"/>
      </w:pPr>
      <w:r>
        <w:rPr>
          <w:rFonts w:ascii="Calibri" w:hAnsi="Calibri"/>
          <w:b/>
          <w:color w:val="1B365D"/>
          <w:sz w:val="36"/>
        </w:rPr>
        <w:t>5. Security, Network &amp; Infrastructure Architecture</w:t>
      </w:r>
    </w:p>
    <w:p>
      <w:pPr>
        <w:spacing w:after="120"/>
      </w:pPr>
      <w:r>
        <w:t>FinAuditPro incorporates end-to-end security safeguards to protect client financial integrity and prevent data exposure:</w:t>
      </w:r>
    </w:p>
    <w:p>
      <w:pPr>
        <w:pStyle w:val="ListBullet"/>
        <w:spacing w:after="80"/>
      </w:pPr>
      <w:r>
        <w:rPr>
          <w:b/>
          <w:color w:val="1B365D"/>
        </w:rPr>
        <w:t xml:space="preserve">Air-Gapped Isolation: </w:t>
      </w:r>
      <w:r>
        <w:t>Operates with zero outbound internet network calls. All processing is localized within the company intranet or desktop sandbox.</w:t>
      </w:r>
    </w:p>
    <w:p>
      <w:pPr>
        <w:pStyle w:val="ListBullet"/>
        <w:spacing w:after="80"/>
      </w:pPr>
      <w:r>
        <w:rPr>
          <w:b/>
          <w:color w:val="1B365D"/>
        </w:rPr>
        <w:t xml:space="preserve">Port Allocation &amp; Binding: </w:t>
      </w:r>
      <w:r>
        <w:t>11434/TCP (Ollama local REST API, bound to 127.0.0.1 by default); 5432/TCP (PostgreSQL central connection).</w:t>
      </w:r>
    </w:p>
    <w:p>
      <w:pPr>
        <w:pStyle w:val="ListBullet"/>
        <w:spacing w:after="80"/>
      </w:pPr>
      <w:r>
        <w:rPr>
          <w:b/>
          <w:color w:val="1B365D"/>
        </w:rPr>
        <w:t xml:space="preserve">Data Encryption at Rest: </w:t>
      </w:r>
      <w:r>
        <w:t>AES-256-GCM encryption for database backup archives and export payloads.</w:t>
      </w:r>
    </w:p>
    <w:p>
      <w:pPr>
        <w:pStyle w:val="ListBullet"/>
        <w:spacing w:after="80"/>
      </w:pPr>
      <w:r>
        <w:rPr>
          <w:b/>
          <w:color w:val="1B365D"/>
        </w:rPr>
        <w:t xml:space="preserve">Credential Protection: </w:t>
      </w:r>
      <w:r>
        <w:t>PBKDF2-HMAC-SHA256 password hashing configured with 100,000+ iterations.</w:t>
      </w:r>
    </w:p>
    <w:p>
      <w:pPr>
        <w:pStyle w:val="ListBullet"/>
        <w:spacing w:after="80"/>
      </w:pPr>
      <w:r>
        <w:rPr>
          <w:b/>
          <w:color w:val="1B365D"/>
        </w:rPr>
        <w:t xml:space="preserve">Audit Log Hash Chain: </w:t>
      </w:r>
      <w:r>
        <w:t>Immutable cryptographic ledger utilizing SHA-256 hash-chaining (Hash_n = SHA256(Hash_{n-1} + Entry_Data)) to prevent audit log tampering.</w:t>
      </w:r>
    </w:p>
    <w:p>
      <w:pPr>
        <w:spacing w:after="160"/>
      </w:pPr>
    </w:p>
    <w:p>
      <w:pPr>
        <w:keepNext/>
        <w:spacing w:before="320" w:after="120"/>
      </w:pPr>
      <w:r>
        <w:rPr>
          <w:rFonts w:ascii="Calibri" w:hAnsi="Calibri"/>
          <w:b/>
          <w:color w:val="1B365D"/>
          <w:sz w:val="36"/>
        </w:rPr>
        <w:t>6. Compliance &amp; Regulatory Readiness</w:t>
      </w:r>
    </w:p>
    <w:p>
      <w:pPr>
        <w:pStyle w:val="ListBullet"/>
        <w:spacing w:after="80"/>
      </w:pPr>
      <w:r>
        <w:rPr>
          <w:b/>
          <w:color w:val="1B365D"/>
        </w:rPr>
        <w:t xml:space="preserve">Statutory Financial Rules: </w:t>
      </w:r>
      <w:r>
        <w:t>Deterministic rule engines for GSTIN checksums, PAN syntax, Income Tax Section 40A(3) cash expenditure limits, and Benford's Law anomaly detection.</w:t>
      </w:r>
    </w:p>
    <w:p>
      <w:pPr>
        <w:pStyle w:val="ListBullet"/>
        <w:spacing w:after="80"/>
      </w:pPr>
      <w:r>
        <w:rPr>
          <w:b/>
          <w:color w:val="1B365D"/>
        </w:rPr>
        <w:t xml:space="preserve">Data Protection Laws: </w:t>
      </w:r>
      <w:r>
        <w:t>Fully compliant with EU GDPR, Indian DPDP Act 2023, and US HIPAA financial data guidelines due to zero third-party cloud data transmission.</w:t>
      </w:r>
    </w:p>
    <w:p>
      <w:pPr>
        <w:pStyle w:val="ListBullet"/>
        <w:spacing w:after="80"/>
      </w:pPr>
      <w:r>
        <w:rPr>
          <w:b/>
          <w:color w:val="1B365D"/>
        </w:rPr>
        <w:t xml:space="preserve">ISO 27001 Readiness: </w:t>
      </w:r>
      <w:r>
        <w:t>Meets ISO 27001 Access Control (A.9) and Cryptography (A.10) standard controls.</w:t>
      </w:r>
    </w:p>
    <w:p>
      <w:pPr>
        <w:spacing w:after="240"/>
      </w:pPr>
    </w:p>
    <w:p>
      <w:pPr>
        <w:keepNext/>
        <w:spacing w:before="320" w:after="120"/>
      </w:pPr>
      <w:r>
        <w:rPr>
          <w:rFonts w:ascii="Calibri" w:hAnsi="Calibri"/>
          <w:b/>
          <w:color w:val="1B365D"/>
          <w:sz w:val="36"/>
        </w:rPr>
        <w:t>7. Distribution, Packaging &amp; Operational Setup</w:t>
      </w:r>
    </w:p>
    <w:p>
      <w:pPr>
        <w:spacing w:after="120"/>
      </w:pPr>
      <w:r>
        <w:t>FinAuditPro provides simplified zero-configuration installation bootstrappers and standalone compilations:</w:t>
      </w:r>
    </w:p>
    <w:p>
      <w:pPr>
        <w:pStyle w:val="ListBullet"/>
        <w:spacing w:after="80"/>
      </w:pPr>
      <w:r>
        <w:rPr>
          <w:b/>
          <w:color w:val="1B365D"/>
        </w:rPr>
        <w:t xml:space="preserve">Windows Executable: </w:t>
      </w:r>
      <w:r>
        <w:t>Compiled into a standalone directory using PyInstaller (FinAuditPro.spec) and wrapped into a single setup installer (FinAuditPro_v1.0.0_Setup.exe) using Inno Setup 6.</w:t>
      </w:r>
    </w:p>
    <w:p>
      <w:pPr>
        <w:pStyle w:val="ListBullet"/>
        <w:spacing w:after="80"/>
      </w:pPr>
      <w:r>
        <w:rPr>
          <w:b/>
          <w:color w:val="1B365D"/>
        </w:rPr>
        <w:t xml:space="preserve">Auto-Installer Scripts: </w:t>
      </w:r>
      <w:r>
        <w:t>Includes install.bat (Windows) and install.sh (macOS/Linux) which detect runtime environments, build virtualenv, install dependencies, and launch.</w:t>
      </w:r>
    </w:p>
    <w:p>
      <w:pPr>
        <w:pStyle w:val="ListBullet"/>
        <w:spacing w:after="80"/>
      </w:pPr>
      <w:r>
        <w:rPr>
          <w:b/>
          <w:color w:val="1B365D"/>
        </w:rPr>
        <w:t xml:space="preserve">Ollama Initialization: </w:t>
      </w:r>
      <w:r>
        <w:t>Pre-flight command required prior to first execution: ollama pull llama3.2</w:t>
      </w:r>
    </w:p>
    <w:p>
      <w:pPr>
        <w:spacing w:after="320"/>
      </w:pPr>
    </w:p>
    <w:p>
      <w:pPr>
        <w:jc w:val="center"/>
      </w:pPr>
      <w:r>
        <w:rPr>
          <w:i/>
          <w:color w:val="888888"/>
          <w:sz w:val="20"/>
        </w:rPr>
        <w:t>— End of Production System Requirements Specification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