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E3A8A"/>
          <w:sz w:val="56"/>
        </w:rPr>
        <w:t>🛡️ FinAuditPro</w:t>
      </w:r>
    </w:p>
    <w:p>
      <w:pPr>
        <w:spacing w:before="0" w:after="360"/>
        <w:jc w:val="center"/>
      </w:pPr>
      <w:r>
        <w:rPr>
          <w:rFonts w:ascii="Calibri" w:hAnsi="Calibri"/>
          <w:color w:val="2563EB"/>
          <w:sz w:val="28"/>
        </w:rPr>
        <w:t>Smart Offline-First AI Financial Audit Assistant</w:t>
        <w:br/>
        <w:t>Complete Technical &amp; Architectural Documentation Specification</w:t>
      </w:r>
    </w:p>
    <w:p>
      <w:pPr>
        <w:spacing w:after="240"/>
      </w:pPr>
    </w:p>
    <w:p>
      <w:pPr>
        <w:keepNext/>
        <w:spacing w:before="360" w:after="160"/>
      </w:pPr>
      <w:r>
        <w:rPr>
          <w:rFonts w:ascii="Calibri" w:hAnsi="Calibri"/>
          <w:b/>
          <w:color w:val="1E3A8A"/>
          <w:sz w:val="36"/>
        </w:rPr>
        <w:t>1. Comprehensive List of Project Features</w:t>
      </w:r>
    </w:p>
    <w:p>
      <w:pPr>
        <w:spacing w:before="0" w:after="120" w:line="276" w:lineRule="auto"/>
      </w:pPr>
      <w:r>
        <w:rPr>
          <w:rFonts w:ascii="Calibri" w:hAnsi="Calibri"/>
          <w:color w:val="334155"/>
          <w:sz w:val="22"/>
        </w:rPr>
        <w:t>FinAuditPro is an enterprise-grade, 100% offline desktop application built specifically for Chartered Accountants (CAs), tax consultants, financial auditors, and forensic accounting professionals. Powered by PySide6 (Qt6), SQLAlchemy, and an embedded local RAG AI engine (Ollama), FinAuditPro ensures zero client data leaves the auditor's workstation while delivering high-speed automated auditing and statutory compliance enforcement.</w:t>
      </w:r>
    </w:p>
    <w:p>
      <w:pPr>
        <w:keepNext/>
        <w:spacing w:before="280" w:after="120"/>
      </w:pPr>
      <w:r>
        <w:rPr>
          <w:rFonts w:ascii="Calibri" w:hAnsi="Calibri"/>
          <w:b/>
          <w:color w:val="2563EB"/>
          <w:sz w:val="28"/>
        </w:rPr>
        <w:t>1.1 Core Feature Modules Breakdown</w:t>
      </w:r>
    </w:p>
    <w:p>
      <w:pPr>
        <w:keepNext/>
        <w:spacing w:before="200" w:after="80"/>
      </w:pPr>
      <w:r>
        <w:rPr>
          <w:rFonts w:ascii="Calibri" w:hAnsi="Calibri"/>
          <w:b/>
          <w:color w:val="334155"/>
          <w:sz w:val="24"/>
        </w:rPr>
        <w:t>1. Client Directory &amp; Multi-Year Engagement Management</w:t>
      </w:r>
    </w:p>
    <w:p>
      <w:pPr>
        <w:pStyle w:val="ListBullet"/>
        <w:spacing w:before="0" w:after="80" w:line="276" w:lineRule="auto"/>
        <w:ind w:left="360"/>
      </w:pPr>
      <w:r>
        <w:rPr>
          <w:rFonts w:ascii="Calibri" w:hAnsi="Calibri"/>
          <w:b/>
          <w:color w:val="0F172A"/>
          <w:sz w:val="21"/>
        </w:rPr>
        <w:t xml:space="preserve">Client Profiling: </w:t>
      </w:r>
      <w:r>
        <w:rPr>
          <w:rFonts w:ascii="Calibri" w:hAnsi="Calibri"/>
          <w:color w:val="334155"/>
          <w:sz w:val="21"/>
        </w:rPr>
        <w:t>Maintains comprehensive profiles for audit clients, including Company Name, 15-digit GSTIN (with real-time regex validation), PAN, Industry Sector, and key contact credentials.</w:t>
      </w:r>
    </w:p>
    <w:p>
      <w:pPr>
        <w:pStyle w:val="ListBullet"/>
        <w:spacing w:before="0" w:after="80" w:line="276" w:lineRule="auto"/>
        <w:ind w:left="360"/>
      </w:pPr>
      <w:r>
        <w:rPr>
          <w:rFonts w:ascii="Calibri" w:hAnsi="Calibri"/>
          <w:b/>
          <w:color w:val="0F172A"/>
          <w:sz w:val="21"/>
        </w:rPr>
        <w:t xml:space="preserve">Engagement Tracking: </w:t>
      </w:r>
      <w:r>
        <w:rPr>
          <w:rFonts w:ascii="Calibri" w:hAnsi="Calibri"/>
          <w:color w:val="334155"/>
          <w:sz w:val="21"/>
        </w:rPr>
        <w:t>Tracks audit engagements across financial years (e.g., FY 2024-25, FY 2025-26) with custom engagement scopes (Statutory Audit, Tax Audit, GST Audit, Internal Audit).</w:t>
      </w:r>
    </w:p>
    <w:p>
      <w:pPr>
        <w:pStyle w:val="ListBullet"/>
        <w:spacing w:before="0" w:after="80" w:line="276" w:lineRule="auto"/>
        <w:ind w:left="360"/>
      </w:pPr>
      <w:r>
        <w:rPr>
          <w:rFonts w:ascii="Calibri" w:hAnsi="Calibri"/>
          <w:b/>
          <w:color w:val="0F172A"/>
          <w:sz w:val="21"/>
        </w:rPr>
        <w:t xml:space="preserve">Lifecycle State Machine: </w:t>
      </w:r>
      <w:r>
        <w:rPr>
          <w:rFonts w:ascii="Calibri" w:hAnsi="Calibri"/>
          <w:color w:val="334155"/>
          <w:sz w:val="21"/>
        </w:rPr>
        <w:t>Enforces a 16-stage linear audit lifecycle state machine (from Engagement Letter &amp; Risk Planning to Draft Report &amp; Final UDIN Sign-off).</w:t>
      </w:r>
    </w:p>
    <w:p>
      <w:pPr>
        <w:keepNext/>
        <w:spacing w:before="200" w:after="80"/>
      </w:pPr>
      <w:r>
        <w:rPr>
          <w:rFonts w:ascii="Calibri" w:hAnsi="Calibri"/>
          <w:b/>
          <w:color w:val="334155"/>
          <w:sz w:val="24"/>
        </w:rPr>
        <w:t>2. Multi-Engine Document Ingestion &amp; OCR Pipeline</w:t>
      </w:r>
    </w:p>
    <w:p>
      <w:pPr>
        <w:pStyle w:val="ListBullet"/>
        <w:spacing w:before="0" w:after="80" w:line="276" w:lineRule="auto"/>
        <w:ind w:left="360"/>
      </w:pPr>
      <w:r>
        <w:rPr>
          <w:rFonts w:ascii="Calibri" w:hAnsi="Calibri"/>
          <w:b/>
          <w:color w:val="0F172A"/>
          <w:sz w:val="21"/>
        </w:rPr>
        <w:t xml:space="preserve">Multi-Format Parsing: </w:t>
      </w:r>
      <w:r>
        <w:rPr>
          <w:rFonts w:ascii="Calibri" w:hAnsi="Calibri"/>
          <w:color w:val="334155"/>
          <w:sz w:val="21"/>
        </w:rPr>
        <w:t>Supports native PDFs, scanned image PDFs, Microsoft Excel (.xlsx), CSV, Word (.docx), and high-resolution images (.jpg/.png).</w:t>
      </w:r>
    </w:p>
    <w:p>
      <w:pPr>
        <w:pStyle w:val="ListBullet"/>
        <w:spacing w:before="0" w:after="80" w:line="276" w:lineRule="auto"/>
        <w:ind w:left="360"/>
      </w:pPr>
      <w:r>
        <w:rPr>
          <w:rFonts w:ascii="Calibri" w:hAnsi="Calibri"/>
          <w:b/>
          <w:color w:val="0F172A"/>
          <w:sz w:val="21"/>
        </w:rPr>
        <w:t xml:space="preserve">Digital Document Extraction: </w:t>
      </w:r>
      <w:r>
        <w:rPr>
          <w:rFonts w:ascii="Calibri" w:hAnsi="Calibri"/>
          <w:color w:val="334155"/>
          <w:sz w:val="21"/>
        </w:rPr>
        <w:t>Leverages PyPDF and pdfplumber for direct vector text and structured table extraction from native PDFs and spreadsheets.</w:t>
      </w:r>
    </w:p>
    <w:p>
      <w:pPr>
        <w:pStyle w:val="ListBullet"/>
        <w:spacing w:before="0" w:after="80" w:line="276" w:lineRule="auto"/>
        <w:ind w:left="360"/>
      </w:pPr>
      <w:r>
        <w:rPr>
          <w:rFonts w:ascii="Calibri" w:hAnsi="Calibri"/>
          <w:b/>
          <w:color w:val="0F172A"/>
          <w:sz w:val="21"/>
        </w:rPr>
        <w:t xml:space="preserve">Optical Character Recognition: </w:t>
      </w:r>
      <w:r>
        <w:rPr>
          <w:rFonts w:ascii="Calibri" w:hAnsi="Calibri"/>
          <w:color w:val="334155"/>
          <w:sz w:val="21"/>
        </w:rPr>
        <w:t>Integrates Tesseract OCR and PaddleOCR engines for accurate text recovery from scanned, skewed, or low-resolution physical vouchers and receipts.</w:t>
      </w:r>
    </w:p>
    <w:p>
      <w:pPr>
        <w:pStyle w:val="ListBullet"/>
        <w:spacing w:before="0" w:after="80" w:line="276" w:lineRule="auto"/>
        <w:ind w:left="360"/>
      </w:pPr>
      <w:r>
        <w:rPr>
          <w:rFonts w:ascii="Calibri" w:hAnsi="Calibri"/>
          <w:b/>
          <w:color w:val="0F172A"/>
          <w:sz w:val="21"/>
        </w:rPr>
        <w:t xml:space="preserve">Deduplication &amp; Hashing: </w:t>
      </w:r>
      <w:r>
        <w:rPr>
          <w:rFonts w:ascii="Calibri" w:hAnsi="Calibri"/>
          <w:color w:val="334155"/>
          <w:sz w:val="21"/>
        </w:rPr>
        <w:t>Computes SHA-256 digital cryptographic signatures for every ingested file to prevent duplicate file ingestion and maintain audit chain of custody.</w:t>
      </w:r>
    </w:p>
    <w:p>
      <w:pPr>
        <w:keepNext/>
        <w:spacing w:before="200" w:after="80"/>
      </w:pPr>
      <w:r>
        <w:rPr>
          <w:rFonts w:ascii="Calibri" w:hAnsi="Calibri"/>
          <w:b/>
          <w:color w:val="334155"/>
          <w:sz w:val="24"/>
        </w:rPr>
        <w:t>3. Automated Enterprise Audit Rule Engine</w:t>
      </w:r>
    </w:p>
    <w:p>
      <w:pPr>
        <w:pStyle w:val="ListBullet"/>
        <w:spacing w:before="0" w:after="80" w:line="276" w:lineRule="auto"/>
        <w:ind w:left="360"/>
      </w:pPr>
      <w:r>
        <w:rPr>
          <w:rFonts w:ascii="Calibri" w:hAnsi="Calibri"/>
          <w:b/>
          <w:color w:val="0F172A"/>
          <w:sz w:val="21"/>
        </w:rPr>
        <w:t xml:space="preserve">100+ Offline Audit Rules: </w:t>
      </w:r>
      <w:r>
        <w:rPr>
          <w:rFonts w:ascii="Calibri" w:hAnsi="Calibri"/>
          <w:color w:val="334155"/>
          <w:sz w:val="21"/>
        </w:rPr>
        <w:t>Includes over 100 pre-configured, offline compliance rules covering Income Tax Act, GST Regulations, Companies Act 2013, and ICAI Standards.</w:t>
      </w:r>
    </w:p>
    <w:p>
      <w:pPr>
        <w:pStyle w:val="ListBullet"/>
        <w:spacing w:before="0" w:after="80" w:line="276" w:lineRule="auto"/>
        <w:ind w:left="360"/>
      </w:pPr>
      <w:r>
        <w:rPr>
          <w:rFonts w:ascii="Calibri" w:hAnsi="Calibri"/>
          <w:b/>
          <w:color w:val="0F172A"/>
          <w:sz w:val="21"/>
        </w:rPr>
        <w:t xml:space="preserve">Cash Payment Disallowance: </w:t>
      </w:r>
      <w:r>
        <w:rPr>
          <w:rFonts w:ascii="Calibri" w:hAnsi="Calibri"/>
          <w:color w:val="334155"/>
          <w:sz w:val="21"/>
        </w:rPr>
        <w:t>Detects single-day cash transactions exceeding ₹10,000 to prevent disallowance under Income Tax Act Sec 40A(3).</w:t>
      </w:r>
    </w:p>
    <w:p>
      <w:pPr>
        <w:pStyle w:val="ListBullet"/>
        <w:spacing w:before="0" w:after="80" w:line="276" w:lineRule="auto"/>
        <w:ind w:left="360"/>
      </w:pPr>
      <w:r>
        <w:rPr>
          <w:rFonts w:ascii="Calibri" w:hAnsi="Calibri"/>
          <w:b/>
          <w:color w:val="0F172A"/>
          <w:sz w:val="21"/>
        </w:rPr>
        <w:t xml:space="preserve">TDS Compliance Validation: </w:t>
      </w:r>
      <w:r>
        <w:rPr>
          <w:rFonts w:ascii="Calibri" w:hAnsi="Calibri"/>
          <w:color w:val="334155"/>
          <w:sz w:val="21"/>
        </w:rPr>
        <w:t>Flags missing PAN disclosures on high-value transactions to evaluate higher TDS deduction liabilities under Sec 206AA.</w:t>
      </w:r>
    </w:p>
    <w:p>
      <w:pPr>
        <w:pStyle w:val="ListBullet"/>
        <w:spacing w:before="0" w:after="80" w:line="276" w:lineRule="auto"/>
        <w:ind w:left="360"/>
      </w:pPr>
      <w:r>
        <w:rPr>
          <w:rFonts w:ascii="Calibri" w:hAnsi="Calibri"/>
          <w:b/>
          <w:color w:val="0F172A"/>
          <w:sz w:val="21"/>
        </w:rPr>
        <w:t xml:space="preserve">Anomaly Detection: </w:t>
      </w:r>
      <w:r>
        <w:rPr>
          <w:rFonts w:ascii="Calibri" w:hAnsi="Calibri"/>
          <w:color w:val="334155"/>
          <w:sz w:val="21"/>
        </w:rPr>
        <w:t>Flags round-sum payments, duplicate invoice numbers, backdated vouchers, and weekend journal entries.</w:t>
      </w:r>
    </w:p>
    <w:p>
      <w:pPr>
        <w:keepNext/>
        <w:spacing w:before="200" w:after="80"/>
      </w:pPr>
      <w:r>
        <w:rPr>
          <w:rFonts w:ascii="Calibri" w:hAnsi="Calibri"/>
          <w:b/>
          <w:color w:val="334155"/>
          <w:sz w:val="24"/>
        </w:rPr>
        <w:t>4. Benford's Law Statistical Fraud Analysis Engine</w:t>
      </w:r>
    </w:p>
    <w:p>
      <w:pPr>
        <w:pStyle w:val="ListBullet"/>
        <w:spacing w:before="0" w:after="80" w:line="276" w:lineRule="auto"/>
        <w:ind w:left="360"/>
      </w:pPr>
      <w:r>
        <w:rPr>
          <w:rFonts w:ascii="Calibri" w:hAnsi="Calibri"/>
          <w:b/>
          <w:color w:val="0F172A"/>
          <w:sz w:val="21"/>
        </w:rPr>
        <w:t xml:space="preserve">First-Digit Frequency Test: </w:t>
      </w:r>
      <w:r>
        <w:rPr>
          <w:rFonts w:ascii="Calibri" w:hAnsi="Calibri"/>
          <w:color w:val="334155"/>
          <w:sz w:val="21"/>
        </w:rPr>
        <w:t>Executes first-digit frequency distribution analysis on financial ledgers to test adherence to logarithmic natural distribution curves.</w:t>
      </w:r>
    </w:p>
    <w:p>
      <w:pPr>
        <w:pStyle w:val="ListBullet"/>
        <w:spacing w:before="0" w:after="80" w:line="276" w:lineRule="auto"/>
        <w:ind w:left="360"/>
      </w:pPr>
      <w:r>
        <w:rPr>
          <w:rFonts w:ascii="Calibri" w:hAnsi="Calibri"/>
          <w:b/>
          <w:color w:val="0F172A"/>
          <w:sz w:val="21"/>
        </w:rPr>
        <w:t xml:space="preserve">Statistical Anomaly Scoring: </w:t>
      </w:r>
      <w:r>
        <w:rPr>
          <w:rFonts w:ascii="Calibri" w:hAnsi="Calibri"/>
          <w:color w:val="334155"/>
          <w:sz w:val="21"/>
        </w:rPr>
        <w:t>Calculates Chi-Square statistical metrics and Z-scores to identify artificially generated transactions, inflated expenses, and fabricated vouchers.</w:t>
      </w:r>
    </w:p>
    <w:p>
      <w:pPr>
        <w:keepNext/>
        <w:spacing w:before="200" w:after="80"/>
      </w:pPr>
      <w:r>
        <w:rPr>
          <w:rFonts w:ascii="Calibri" w:hAnsi="Calibri"/>
          <w:b/>
          <w:color w:val="334155"/>
          <w:sz w:val="24"/>
        </w:rPr>
        <w:t>5. GST Multi-Way Reconciliation Workspace</w:t>
      </w:r>
    </w:p>
    <w:p>
      <w:pPr>
        <w:pStyle w:val="ListBullet"/>
        <w:spacing w:before="0" w:after="80" w:line="276" w:lineRule="auto"/>
        <w:ind w:left="360"/>
      </w:pPr>
      <w:r>
        <w:rPr>
          <w:rFonts w:ascii="Calibri" w:hAnsi="Calibri"/>
          <w:b/>
          <w:color w:val="0F172A"/>
          <w:sz w:val="21"/>
        </w:rPr>
        <w:t xml:space="preserve">Multi-Filing Matching: </w:t>
      </w:r>
      <w:r>
        <w:rPr>
          <w:rFonts w:ascii="Calibri" w:hAnsi="Calibri"/>
          <w:color w:val="334155"/>
          <w:sz w:val="21"/>
        </w:rPr>
        <w:t>Automates multi-way cross-matching between GSTR-1, GSTR-2B, GSTR-3B filings, and client Purchase Registers.</w:t>
      </w:r>
    </w:p>
    <w:p>
      <w:pPr>
        <w:pStyle w:val="ListBullet"/>
        <w:spacing w:before="0" w:after="80" w:line="276" w:lineRule="auto"/>
        <w:ind w:left="360"/>
      </w:pPr>
      <w:r>
        <w:rPr>
          <w:rFonts w:ascii="Calibri" w:hAnsi="Calibri"/>
          <w:b/>
          <w:color w:val="0F172A"/>
          <w:sz w:val="21"/>
        </w:rPr>
        <w:t xml:space="preserve">ITC Mismatch Detection: </w:t>
      </w:r>
      <w:r>
        <w:rPr>
          <w:rFonts w:ascii="Calibri" w:hAnsi="Calibri"/>
          <w:color w:val="334155"/>
          <w:sz w:val="21"/>
        </w:rPr>
        <w:t>Identifies claimed Input Tax Credit (ITC) on invoices absent from vendor GSTR-2B filings to mitigate penalty liabilities under Section 16(2)(aa).</w:t>
      </w:r>
    </w:p>
    <w:p>
      <w:pPr>
        <w:pStyle w:val="ListBullet"/>
        <w:spacing w:before="0" w:after="80" w:line="276" w:lineRule="auto"/>
        <w:ind w:left="360"/>
      </w:pPr>
      <w:r>
        <w:rPr>
          <w:rFonts w:ascii="Calibri" w:hAnsi="Calibri"/>
          <w:b/>
          <w:color w:val="0F172A"/>
          <w:sz w:val="21"/>
        </w:rPr>
        <w:t xml:space="preserve">Discrepancy Reporting: </w:t>
      </w:r>
      <w:r>
        <w:rPr>
          <w:rFonts w:ascii="Calibri" w:hAnsi="Calibri"/>
          <w:color w:val="334155"/>
          <w:sz w:val="21"/>
        </w:rPr>
        <w:t>Detects tax rate discrepancies, invoice number syntax variations, and supplier GSTIN cancellation risks.</w:t>
      </w:r>
    </w:p>
    <w:p>
      <w:pPr>
        <w:keepNext/>
        <w:spacing w:before="200" w:after="80"/>
      </w:pPr>
      <w:r>
        <w:rPr>
          <w:rFonts w:ascii="Calibri" w:hAnsi="Calibri"/>
          <w:b/>
          <w:color w:val="334155"/>
          <w:sz w:val="24"/>
        </w:rPr>
        <w:t>6. 100% Offline AI Audit Copilot &amp; RAG Retrieval Engine</w:t>
      </w:r>
    </w:p>
    <w:p>
      <w:pPr>
        <w:pStyle w:val="ListBullet"/>
        <w:spacing w:before="0" w:after="80" w:line="276" w:lineRule="auto"/>
        <w:ind w:left="360"/>
      </w:pPr>
      <w:r>
        <w:rPr>
          <w:rFonts w:ascii="Calibri" w:hAnsi="Calibri"/>
          <w:b/>
          <w:color w:val="0F172A"/>
          <w:sz w:val="21"/>
        </w:rPr>
        <w:t xml:space="preserve">Local LLM Inference: </w:t>
      </w:r>
      <w:r>
        <w:rPr>
          <w:rFonts w:ascii="Calibri" w:hAnsi="Calibri"/>
          <w:color w:val="334155"/>
          <w:sz w:val="21"/>
        </w:rPr>
        <w:t>Executes local quantized LLMs (Qwen2.5-Coder 7B / Llama 3.2 3B) via Ollama with zero cloud API dependencies.</w:t>
      </w:r>
    </w:p>
    <w:p>
      <w:pPr>
        <w:pStyle w:val="ListBullet"/>
        <w:spacing w:before="0" w:after="80" w:line="276" w:lineRule="auto"/>
        <w:ind w:left="360"/>
      </w:pPr>
      <w:r>
        <w:rPr>
          <w:rFonts w:ascii="Calibri" w:hAnsi="Calibri"/>
          <w:b/>
          <w:color w:val="0F172A"/>
          <w:sz w:val="21"/>
        </w:rPr>
        <w:t xml:space="preserve">FAISS Vector Store: </w:t>
      </w:r>
      <w:r>
        <w:rPr>
          <w:rFonts w:ascii="Calibri" w:hAnsi="Calibri"/>
          <w:color w:val="334155"/>
          <w:sz w:val="21"/>
        </w:rPr>
        <w:t>Chunks document text into semantic paragraphs and indexes 384-dimensional embeddings into a local FAISS vector store.</w:t>
      </w:r>
    </w:p>
    <w:p>
      <w:pPr>
        <w:pStyle w:val="ListBullet"/>
        <w:spacing w:before="0" w:after="80" w:line="276" w:lineRule="auto"/>
        <w:ind w:left="360"/>
      </w:pPr>
      <w:r>
        <w:rPr>
          <w:rFonts w:ascii="Calibri" w:hAnsi="Calibri"/>
          <w:b/>
          <w:color w:val="0F172A"/>
          <w:sz w:val="21"/>
        </w:rPr>
        <w:t xml:space="preserve">Structured Output Enforcement: </w:t>
      </w:r>
      <w:r>
        <w:rPr>
          <w:rFonts w:ascii="Calibri" w:hAnsi="Calibri"/>
          <w:color w:val="334155"/>
          <w:sz w:val="21"/>
        </w:rPr>
        <w:t>Enforces strict JSON schema outputs from local LLMs to guarantee zero hallucination in audit findings and numerical data.</w:t>
      </w:r>
    </w:p>
    <w:p>
      <w:pPr>
        <w:pStyle w:val="ListBullet"/>
        <w:spacing w:before="0" w:after="80" w:line="276" w:lineRule="auto"/>
        <w:ind w:left="360"/>
      </w:pPr>
      <w:r>
        <w:rPr>
          <w:rFonts w:ascii="Calibri" w:hAnsi="Calibri"/>
          <w:b/>
          <w:color w:val="0F172A"/>
          <w:sz w:val="21"/>
        </w:rPr>
        <w:t xml:space="preserve">ICAI Standard Mapping: </w:t>
      </w:r>
      <w:r>
        <w:rPr>
          <w:rFonts w:ascii="Calibri" w:hAnsi="Calibri"/>
          <w:color w:val="334155"/>
          <w:sz w:val="21"/>
        </w:rPr>
        <w:t>Maps identified issues directly to ICAI Standards on Auditing (SA 240 Fraud, SA 500 Evidence, SA 700 Opinion Drafting).</w:t>
      </w:r>
    </w:p>
    <w:p>
      <w:pPr>
        <w:keepNext/>
        <w:spacing w:before="200" w:after="80"/>
      </w:pPr>
      <w:r>
        <w:rPr>
          <w:rFonts w:ascii="Calibri" w:hAnsi="Calibri"/>
          <w:b/>
          <w:color w:val="334155"/>
          <w:sz w:val="24"/>
        </w:rPr>
        <w:t>7. Financial Risk Matrix &amp; Visual Heatmap Analytics</w:t>
      </w:r>
    </w:p>
    <w:p>
      <w:pPr>
        <w:pStyle w:val="ListBullet"/>
        <w:spacing w:before="0" w:after="80" w:line="276" w:lineRule="auto"/>
        <w:ind w:left="360"/>
      </w:pPr>
      <w:r>
        <w:rPr>
          <w:rFonts w:ascii="Calibri" w:hAnsi="Calibri"/>
          <w:b/>
          <w:color w:val="0F172A"/>
          <w:sz w:val="21"/>
        </w:rPr>
        <w:t xml:space="preserve">Composite Risk Scoring: </w:t>
      </w:r>
      <w:r>
        <w:rPr>
          <w:rFonts w:ascii="Calibri" w:hAnsi="Calibri"/>
          <w:color w:val="334155"/>
          <w:sz w:val="21"/>
        </w:rPr>
        <w:t>Computes composite engagement risk scores (0 to 100) based on weighted rule failures, Benford anomalies, and AI findings.</w:t>
      </w:r>
    </w:p>
    <w:p>
      <w:pPr>
        <w:pStyle w:val="ListBullet"/>
        <w:spacing w:before="0" w:after="80" w:line="276" w:lineRule="auto"/>
        <w:ind w:left="360"/>
      </w:pPr>
      <w:r>
        <w:rPr>
          <w:rFonts w:ascii="Calibri" w:hAnsi="Calibri"/>
          <w:b/>
          <w:color w:val="0F172A"/>
          <w:sz w:val="21"/>
        </w:rPr>
        <w:t xml:space="preserve">Interactive Data Visualization: </w:t>
      </w:r>
      <w:r>
        <w:rPr>
          <w:rFonts w:ascii="Calibri" w:hAnsi="Calibri"/>
          <w:color w:val="334155"/>
          <w:sz w:val="21"/>
        </w:rPr>
        <w:t>Renders interactive risk heatmaps, donut risk breakdown charts, and timeline anomaly trends via PySide6 QtCharts and Matplotlib.</w:t>
      </w:r>
    </w:p>
    <w:p>
      <w:pPr>
        <w:keepNext/>
        <w:spacing w:before="200" w:after="80"/>
      </w:pPr>
      <w:r>
        <w:rPr>
          <w:rFonts w:ascii="Calibri" w:hAnsi="Calibri"/>
          <w:b/>
          <w:color w:val="334155"/>
          <w:sz w:val="24"/>
        </w:rPr>
        <w:t>8. Working Papers &amp; ICAI-Standard Statutory Audit Report Generator</w:t>
      </w:r>
    </w:p>
    <w:p>
      <w:pPr>
        <w:pStyle w:val="ListBullet"/>
        <w:spacing w:before="0" w:after="80" w:line="276" w:lineRule="auto"/>
        <w:ind w:left="360"/>
      </w:pPr>
      <w:r>
        <w:rPr>
          <w:rFonts w:ascii="Calibri" w:hAnsi="Calibri"/>
          <w:b/>
          <w:color w:val="0F172A"/>
          <w:sz w:val="21"/>
        </w:rPr>
        <w:t xml:space="preserve">Automated Working Papers: </w:t>
      </w:r>
      <w:r>
        <w:rPr>
          <w:rFonts w:ascii="Calibri" w:hAnsi="Calibri"/>
          <w:color w:val="334155"/>
          <w:sz w:val="21"/>
        </w:rPr>
        <w:t>Automatically builds standardized CA working papers with objective statements, audit procedures performed, evidence references, and conclusions.</w:t>
      </w:r>
    </w:p>
    <w:p>
      <w:pPr>
        <w:pStyle w:val="ListBullet"/>
        <w:spacing w:before="0" w:after="80" w:line="276" w:lineRule="auto"/>
        <w:ind w:left="360"/>
      </w:pPr>
      <w:r>
        <w:rPr>
          <w:rFonts w:ascii="Calibri" w:hAnsi="Calibri"/>
          <w:b/>
          <w:color w:val="0F172A"/>
          <w:sz w:val="21"/>
        </w:rPr>
        <w:t xml:space="preserve">Audit Opinion Drafting: </w:t>
      </w:r>
      <w:r>
        <w:rPr>
          <w:rFonts w:ascii="Calibri" w:hAnsi="Calibri"/>
          <w:color w:val="334155"/>
          <w:sz w:val="21"/>
        </w:rPr>
        <w:t>Drafts statutory audit opinions (Unmodified, Qualified, Adverse, Disclaimer) with complete evidence citation trails.</w:t>
      </w:r>
    </w:p>
    <w:p>
      <w:pPr>
        <w:pStyle w:val="ListBullet"/>
        <w:spacing w:before="0" w:after="80" w:line="276" w:lineRule="auto"/>
        <w:ind w:left="360"/>
      </w:pPr>
      <w:r>
        <w:rPr>
          <w:rFonts w:ascii="Calibri" w:hAnsi="Calibri"/>
          <w:b/>
          <w:color w:val="0F172A"/>
          <w:sz w:val="21"/>
        </w:rPr>
        <w:t xml:space="preserve">UDIN &amp; Signature Blocks: </w:t>
      </w:r>
      <w:r>
        <w:rPr>
          <w:rFonts w:ascii="Calibri" w:hAnsi="Calibri"/>
          <w:color w:val="334155"/>
          <w:sz w:val="21"/>
        </w:rPr>
        <w:t>Auto-generates digital signature blocks and Unique Document Identification Numbers (UDIN) compliant with ICAI guidelines.</w:t>
      </w:r>
    </w:p>
    <w:p>
      <w:pPr>
        <w:pStyle w:val="ListBullet"/>
        <w:spacing w:before="0" w:after="80" w:line="276" w:lineRule="auto"/>
        <w:ind w:left="360"/>
      </w:pPr>
      <w:r>
        <w:rPr>
          <w:rFonts w:ascii="Calibri" w:hAnsi="Calibri"/>
          <w:b/>
          <w:color w:val="0F172A"/>
          <w:sz w:val="21"/>
        </w:rPr>
        <w:t xml:space="preserve">PDF Report Generation: </w:t>
      </w:r>
      <w:r>
        <w:rPr>
          <w:rFonts w:ascii="Calibri" w:hAnsi="Calibri"/>
          <w:color w:val="334155"/>
          <w:sz w:val="21"/>
        </w:rPr>
        <w:t>Compiles Deloitte/EY-style executive PDF audit reports with embedded charts and tables.</w:t>
      </w:r>
    </w:p>
    <w:p>
      <w:pPr>
        <w:keepNext/>
        <w:spacing w:before="200" w:after="80"/>
      </w:pPr>
      <w:r>
        <w:rPr>
          <w:rFonts w:ascii="Calibri" w:hAnsi="Calibri"/>
          <w:b/>
          <w:color w:val="334155"/>
          <w:sz w:val="24"/>
        </w:rPr>
        <w:t>9. Enterprise Security, Governance &amp; Audit Logging</w:t>
      </w:r>
    </w:p>
    <w:p>
      <w:pPr>
        <w:pStyle w:val="ListBullet"/>
        <w:spacing w:before="0" w:after="80" w:line="276" w:lineRule="auto"/>
        <w:ind w:left="360"/>
      </w:pPr>
      <w:r>
        <w:rPr>
          <w:rFonts w:ascii="Calibri" w:hAnsi="Calibri"/>
          <w:b/>
          <w:color w:val="0F172A"/>
          <w:sz w:val="21"/>
        </w:rPr>
        <w:t xml:space="preserve">AES-256 File Encryption: </w:t>
      </w:r>
      <w:r>
        <w:rPr>
          <w:rFonts w:ascii="Calibri" w:hAnsi="Calibri"/>
          <w:color w:val="334155"/>
          <w:sz w:val="21"/>
        </w:rPr>
        <w:t>Encrypts sensitive client ledgers and document storage locally using AES-256 GCM encryption.</w:t>
      </w:r>
    </w:p>
    <w:p>
      <w:pPr>
        <w:pStyle w:val="ListBullet"/>
        <w:spacing w:before="0" w:after="80" w:line="276" w:lineRule="auto"/>
        <w:ind w:left="360"/>
      </w:pPr>
      <w:r>
        <w:rPr>
          <w:rFonts w:ascii="Calibri" w:hAnsi="Calibri"/>
          <w:b/>
          <w:color w:val="0F172A"/>
          <w:sz w:val="21"/>
        </w:rPr>
        <w:t xml:space="preserve">PBKDF2 Password Security: </w:t>
      </w:r>
      <w:r>
        <w:rPr>
          <w:rFonts w:ascii="Calibri" w:hAnsi="Calibri"/>
          <w:color w:val="334155"/>
          <w:sz w:val="21"/>
        </w:rPr>
        <w:t>Secures user credentials with PBKDF2-HMAC-SHA256 password hashing (100,000 iterations + random salt).</w:t>
      </w:r>
    </w:p>
    <w:p>
      <w:pPr>
        <w:pStyle w:val="ListBullet"/>
        <w:spacing w:before="0" w:after="80" w:line="276" w:lineRule="auto"/>
        <w:ind w:left="360"/>
      </w:pPr>
      <w:r>
        <w:rPr>
          <w:rFonts w:ascii="Calibri" w:hAnsi="Calibri"/>
          <w:b/>
          <w:color w:val="0F172A"/>
          <w:sz w:val="21"/>
        </w:rPr>
        <w:t xml:space="preserve">Tamper-Proof Audit Trail: </w:t>
      </w:r>
      <w:r>
        <w:rPr>
          <w:rFonts w:ascii="Calibri" w:hAnsi="Calibri"/>
          <w:color w:val="334155"/>
          <w:sz w:val="21"/>
        </w:rPr>
        <w:t>Maintains an immutable, append-only, SHA-256 hash-chained activity audit log for legal evidentiary compliance.</w:t>
      </w:r>
    </w:p>
    <w:p>
      <w:pPr>
        <w:keepNext/>
        <w:spacing w:before="280" w:after="120"/>
      </w:pPr>
      <w:r>
        <w:rPr>
          <w:rFonts w:ascii="Calibri" w:hAnsi="Calibri"/>
          <w:b/>
          <w:color w:val="2563EB"/>
          <w:sz w:val="28"/>
        </w:rPr>
        <w:t>1.2 FinAuditPro Feature Matrix Summary</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40" w:type="dxa"/>
              <w:bottom w:w="140" w:type="dxa"/>
              <w:left w:w="180" w:type="dxa"/>
              <w:right w:w="180" w:type="dxa"/>
            </w:tcMar>
          </w:tcPr>
          <w:p>
            <w:pPr>
              <w:jc w:val="left"/>
            </w:pPr>
            <w:r>
              <w:rPr>
                <w:rFonts w:ascii="Calibri" w:hAnsi="Calibri"/>
                <w:b/>
                <w:color w:val="FFFFFF"/>
                <w:sz w:val="20"/>
              </w:rPr>
              <w:t>Module Name</w:t>
            </w:r>
          </w:p>
        </w:tc>
        <w:tc>
          <w:tcPr>
            <w:tcW w:type="dxa" w:w="2880"/>
            <w:shd w:fill="1E3A8A"/>
            <w:tcMar>
              <w:top w:w="140" w:type="dxa"/>
              <w:bottom w:w="140" w:type="dxa"/>
              <w:left w:w="180" w:type="dxa"/>
              <w:right w:w="180" w:type="dxa"/>
            </w:tcMar>
          </w:tcPr>
          <w:p>
            <w:pPr>
              <w:jc w:val="left"/>
            </w:pPr>
            <w:r>
              <w:rPr>
                <w:rFonts w:ascii="Calibri" w:hAnsi="Calibri"/>
                <w:b/>
                <w:color w:val="FFFFFF"/>
                <w:sz w:val="20"/>
              </w:rPr>
              <w:t>Primary Capability</w:t>
            </w:r>
          </w:p>
        </w:tc>
        <w:tc>
          <w:tcPr>
            <w:tcW w:type="dxa" w:w="2160"/>
            <w:shd w:fill="1E3A8A"/>
            <w:tcMar>
              <w:top w:w="140" w:type="dxa"/>
              <w:bottom w:w="140" w:type="dxa"/>
              <w:left w:w="180" w:type="dxa"/>
              <w:right w:w="180" w:type="dxa"/>
            </w:tcMar>
          </w:tcPr>
          <w:p>
            <w:pPr>
              <w:jc w:val="left"/>
            </w:pPr>
            <w:r>
              <w:rPr>
                <w:rFonts w:ascii="Calibri" w:hAnsi="Calibri"/>
                <w:b/>
                <w:color w:val="FFFFFF"/>
                <w:sz w:val="20"/>
              </w:rPr>
              <w:t>Underlying Technology</w:t>
            </w:r>
          </w:p>
        </w:tc>
        <w:tc>
          <w:tcPr>
            <w:tcW w:type="dxa" w:w="2160"/>
            <w:shd w:fill="1E3A8A"/>
            <w:tcMar>
              <w:top w:w="140" w:type="dxa"/>
              <w:bottom w:w="140" w:type="dxa"/>
              <w:left w:w="180" w:type="dxa"/>
              <w:right w:w="180" w:type="dxa"/>
            </w:tcMar>
          </w:tcPr>
          <w:p>
            <w:pPr>
              <w:jc w:val="left"/>
            </w:pPr>
            <w:r>
              <w:rPr>
                <w:rFonts w:ascii="Calibri" w:hAnsi="Calibri"/>
                <w:b/>
                <w:color w:val="FFFFFF"/>
                <w:sz w:val="20"/>
              </w:rPr>
              <w:t>Key Compliance Impact</w:t>
            </w:r>
          </w:p>
        </w:tc>
      </w:tr>
      <w:tr>
        <w:tc>
          <w:tcPr>
            <w:tcW w:type="dxa" w:w="2160"/>
            <w:shd w:fill="FFFFFF"/>
            <w:tcMar>
              <w:top w:w="100" w:type="dxa"/>
              <w:bottom w:w="100" w:type="dxa"/>
              <w:left w:w="160" w:type="dxa"/>
              <w:right w:w="160" w:type="dxa"/>
            </w:tcMar>
          </w:tcPr>
          <w:p>
            <w:pPr>
              <w:jc w:val="left"/>
            </w:pPr>
            <w:r>
              <w:rPr>
                <w:rFonts w:ascii="Calibri" w:hAnsi="Calibri"/>
                <w:color w:val="0F172A"/>
                <w:sz w:val="19"/>
              </w:rPr>
              <w:t>Client &amp; Engagement</w:t>
            </w:r>
          </w:p>
        </w:tc>
        <w:tc>
          <w:tcPr>
            <w:tcW w:type="dxa" w:w="2880"/>
            <w:shd w:fill="FFFFFF"/>
            <w:tcMar>
              <w:top w:w="100" w:type="dxa"/>
              <w:bottom w:w="100" w:type="dxa"/>
              <w:left w:w="160" w:type="dxa"/>
              <w:right w:w="160" w:type="dxa"/>
            </w:tcMar>
          </w:tcPr>
          <w:p>
            <w:pPr>
              <w:jc w:val="left"/>
            </w:pPr>
            <w:r>
              <w:rPr>
                <w:rFonts w:ascii="Calibri" w:hAnsi="Calibri"/>
                <w:color w:val="0F172A"/>
                <w:sz w:val="19"/>
              </w:rPr>
              <w:t>Directory &amp; 16-stage state machine</w:t>
            </w:r>
          </w:p>
        </w:tc>
        <w:tc>
          <w:tcPr>
            <w:tcW w:type="dxa" w:w="2160"/>
            <w:shd w:fill="FFFFFF"/>
            <w:tcMar>
              <w:top w:w="100" w:type="dxa"/>
              <w:bottom w:w="100" w:type="dxa"/>
              <w:left w:w="160" w:type="dxa"/>
              <w:right w:w="160" w:type="dxa"/>
            </w:tcMar>
          </w:tcPr>
          <w:p>
            <w:pPr>
              <w:jc w:val="left"/>
            </w:pPr>
            <w:r>
              <w:rPr>
                <w:rFonts w:ascii="Calibri" w:hAnsi="Calibri"/>
                <w:color w:val="0F172A"/>
                <w:sz w:val="19"/>
              </w:rPr>
              <w:t>SQLAlchemy ORM + SQLite</w:t>
            </w:r>
          </w:p>
        </w:tc>
        <w:tc>
          <w:tcPr>
            <w:tcW w:type="dxa" w:w="2160"/>
            <w:shd w:fill="FFFFFF"/>
            <w:tcMar>
              <w:top w:w="100" w:type="dxa"/>
              <w:bottom w:w="100" w:type="dxa"/>
              <w:left w:w="160" w:type="dxa"/>
              <w:right w:w="160" w:type="dxa"/>
            </w:tcMar>
          </w:tcPr>
          <w:p>
            <w:pPr>
              <w:jc w:val="left"/>
            </w:pPr>
            <w:r>
              <w:rPr>
                <w:rFonts w:ascii="Calibri" w:hAnsi="Calibri"/>
                <w:color w:val="0F172A"/>
                <w:sz w:val="19"/>
              </w:rPr>
              <w:t>Audit lifecycle tracking</w:t>
            </w:r>
          </w:p>
        </w:tc>
      </w:tr>
      <w:tr>
        <w:tc>
          <w:tcPr>
            <w:tcW w:type="dxa" w:w="2160"/>
            <w:shd w:fill="F8FAFC"/>
            <w:tcMar>
              <w:top w:w="100" w:type="dxa"/>
              <w:bottom w:w="100" w:type="dxa"/>
              <w:left w:w="160" w:type="dxa"/>
              <w:right w:w="160" w:type="dxa"/>
            </w:tcMar>
          </w:tcPr>
          <w:p>
            <w:pPr>
              <w:jc w:val="left"/>
            </w:pPr>
            <w:r>
              <w:rPr>
                <w:rFonts w:ascii="Calibri" w:hAnsi="Calibri"/>
                <w:color w:val="0F172A"/>
                <w:sz w:val="19"/>
              </w:rPr>
              <w:t>Document Intelligence</w:t>
            </w:r>
          </w:p>
        </w:tc>
        <w:tc>
          <w:tcPr>
            <w:tcW w:type="dxa" w:w="2880"/>
            <w:shd w:fill="F8FAFC"/>
            <w:tcMar>
              <w:top w:w="100" w:type="dxa"/>
              <w:bottom w:w="100" w:type="dxa"/>
              <w:left w:w="160" w:type="dxa"/>
              <w:right w:w="160" w:type="dxa"/>
            </w:tcMar>
          </w:tcPr>
          <w:p>
            <w:pPr>
              <w:jc w:val="left"/>
            </w:pPr>
            <w:r>
              <w:rPr>
                <w:rFonts w:ascii="Calibri" w:hAnsi="Calibri"/>
                <w:color w:val="0F172A"/>
                <w:sz w:val="19"/>
              </w:rPr>
              <w:t>Multi-format OCR &amp; text extraction</w:t>
            </w:r>
          </w:p>
        </w:tc>
        <w:tc>
          <w:tcPr>
            <w:tcW w:type="dxa" w:w="2160"/>
            <w:shd w:fill="F8FAFC"/>
            <w:tcMar>
              <w:top w:w="100" w:type="dxa"/>
              <w:bottom w:w="100" w:type="dxa"/>
              <w:left w:w="160" w:type="dxa"/>
              <w:right w:w="160" w:type="dxa"/>
            </w:tcMar>
          </w:tcPr>
          <w:p>
            <w:pPr>
              <w:jc w:val="left"/>
            </w:pPr>
            <w:r>
              <w:rPr>
                <w:rFonts w:ascii="Calibri" w:hAnsi="Calibri"/>
                <w:color w:val="0F172A"/>
                <w:sz w:val="19"/>
              </w:rPr>
              <w:t>pdfplumber, PyPDF, Tesseract</w:t>
            </w:r>
          </w:p>
        </w:tc>
        <w:tc>
          <w:tcPr>
            <w:tcW w:type="dxa" w:w="2160"/>
            <w:shd w:fill="F8FAFC"/>
            <w:tcMar>
              <w:top w:w="100" w:type="dxa"/>
              <w:bottom w:w="100" w:type="dxa"/>
              <w:left w:w="160" w:type="dxa"/>
              <w:right w:w="160" w:type="dxa"/>
            </w:tcMar>
          </w:tcPr>
          <w:p>
            <w:pPr>
              <w:jc w:val="left"/>
            </w:pPr>
            <w:r>
              <w:rPr>
                <w:rFonts w:ascii="Calibri" w:hAnsi="Calibri"/>
                <w:color w:val="0F172A"/>
                <w:sz w:val="19"/>
              </w:rPr>
              <w:t>Automated invoice parsing</w:t>
            </w:r>
          </w:p>
        </w:tc>
      </w:tr>
      <w:tr>
        <w:tc>
          <w:tcPr>
            <w:tcW w:type="dxa" w:w="2160"/>
            <w:shd w:fill="FFFFFF"/>
            <w:tcMar>
              <w:top w:w="100" w:type="dxa"/>
              <w:bottom w:w="100" w:type="dxa"/>
              <w:left w:w="160" w:type="dxa"/>
              <w:right w:w="160" w:type="dxa"/>
            </w:tcMar>
          </w:tcPr>
          <w:p>
            <w:pPr>
              <w:jc w:val="left"/>
            </w:pPr>
            <w:r>
              <w:rPr>
                <w:rFonts w:ascii="Calibri" w:hAnsi="Calibri"/>
                <w:color w:val="0F172A"/>
                <w:sz w:val="19"/>
              </w:rPr>
              <w:t>Enterprise Rule Engine</w:t>
            </w:r>
          </w:p>
        </w:tc>
        <w:tc>
          <w:tcPr>
            <w:tcW w:type="dxa" w:w="2880"/>
            <w:shd w:fill="FFFFFF"/>
            <w:tcMar>
              <w:top w:w="100" w:type="dxa"/>
              <w:bottom w:w="100" w:type="dxa"/>
              <w:left w:w="160" w:type="dxa"/>
              <w:right w:w="160" w:type="dxa"/>
            </w:tcMar>
          </w:tcPr>
          <w:p>
            <w:pPr>
              <w:jc w:val="left"/>
            </w:pPr>
            <w:r>
              <w:rPr>
                <w:rFonts w:ascii="Calibri" w:hAnsi="Calibri"/>
                <w:color w:val="0F172A"/>
                <w:sz w:val="19"/>
              </w:rPr>
              <w:t>100+ offline statutory rules</w:t>
            </w:r>
          </w:p>
        </w:tc>
        <w:tc>
          <w:tcPr>
            <w:tcW w:type="dxa" w:w="2160"/>
            <w:shd w:fill="FFFFFF"/>
            <w:tcMar>
              <w:top w:w="100" w:type="dxa"/>
              <w:bottom w:w="100" w:type="dxa"/>
              <w:left w:w="160" w:type="dxa"/>
              <w:right w:w="160" w:type="dxa"/>
            </w:tcMar>
          </w:tcPr>
          <w:p>
            <w:pPr>
              <w:jc w:val="left"/>
            </w:pPr>
            <w:r>
              <w:rPr>
                <w:rFonts w:ascii="Calibri" w:hAnsi="Calibri"/>
                <w:color w:val="0F172A"/>
                <w:sz w:val="19"/>
              </w:rPr>
              <w:t>Python Rule Engine, Regex</w:t>
            </w:r>
          </w:p>
        </w:tc>
        <w:tc>
          <w:tcPr>
            <w:tcW w:type="dxa" w:w="2160"/>
            <w:shd w:fill="FFFFFF"/>
            <w:tcMar>
              <w:top w:w="100" w:type="dxa"/>
              <w:bottom w:w="100" w:type="dxa"/>
              <w:left w:w="160" w:type="dxa"/>
              <w:right w:w="160" w:type="dxa"/>
            </w:tcMar>
          </w:tcPr>
          <w:p>
            <w:pPr>
              <w:jc w:val="left"/>
            </w:pPr>
            <w:r>
              <w:rPr>
                <w:rFonts w:ascii="Calibri" w:hAnsi="Calibri"/>
                <w:color w:val="0F172A"/>
                <w:sz w:val="19"/>
              </w:rPr>
              <w:t>Sec 40A(3), Sec 206AA compliance</w:t>
            </w:r>
          </w:p>
        </w:tc>
      </w:tr>
      <w:tr>
        <w:tc>
          <w:tcPr>
            <w:tcW w:type="dxa" w:w="2160"/>
            <w:shd w:fill="F8FAFC"/>
            <w:tcMar>
              <w:top w:w="100" w:type="dxa"/>
              <w:bottom w:w="100" w:type="dxa"/>
              <w:left w:w="160" w:type="dxa"/>
              <w:right w:w="160" w:type="dxa"/>
            </w:tcMar>
          </w:tcPr>
          <w:p>
            <w:pPr>
              <w:jc w:val="left"/>
            </w:pPr>
            <w:r>
              <w:rPr>
                <w:rFonts w:ascii="Calibri" w:hAnsi="Calibri"/>
                <w:color w:val="0F172A"/>
                <w:sz w:val="19"/>
              </w:rPr>
              <w:t>Benford's Law Engine</w:t>
            </w:r>
          </w:p>
        </w:tc>
        <w:tc>
          <w:tcPr>
            <w:tcW w:type="dxa" w:w="2880"/>
            <w:shd w:fill="F8FAFC"/>
            <w:tcMar>
              <w:top w:w="100" w:type="dxa"/>
              <w:bottom w:w="100" w:type="dxa"/>
              <w:left w:w="160" w:type="dxa"/>
              <w:right w:w="160" w:type="dxa"/>
            </w:tcMar>
          </w:tcPr>
          <w:p>
            <w:pPr>
              <w:jc w:val="left"/>
            </w:pPr>
            <w:r>
              <w:rPr>
                <w:rFonts w:ascii="Calibri" w:hAnsi="Calibri"/>
                <w:color w:val="0F172A"/>
                <w:sz w:val="19"/>
              </w:rPr>
              <w:t>Statistical fraud &amp; anomaly test</w:t>
            </w:r>
          </w:p>
        </w:tc>
        <w:tc>
          <w:tcPr>
            <w:tcW w:type="dxa" w:w="2160"/>
            <w:shd w:fill="F8FAFC"/>
            <w:tcMar>
              <w:top w:w="100" w:type="dxa"/>
              <w:bottom w:w="100" w:type="dxa"/>
              <w:left w:w="160" w:type="dxa"/>
              <w:right w:w="160" w:type="dxa"/>
            </w:tcMar>
          </w:tcPr>
          <w:p>
            <w:pPr>
              <w:jc w:val="left"/>
            </w:pPr>
            <w:r>
              <w:rPr>
                <w:rFonts w:ascii="Calibri" w:hAnsi="Calibri"/>
                <w:color w:val="0F172A"/>
                <w:sz w:val="19"/>
              </w:rPr>
              <w:t>SciPy, NumPy Chi-Square</w:t>
            </w:r>
          </w:p>
        </w:tc>
        <w:tc>
          <w:tcPr>
            <w:tcW w:type="dxa" w:w="2160"/>
            <w:shd w:fill="F8FAFC"/>
            <w:tcMar>
              <w:top w:w="100" w:type="dxa"/>
              <w:bottom w:w="100" w:type="dxa"/>
              <w:left w:w="160" w:type="dxa"/>
              <w:right w:w="160" w:type="dxa"/>
            </w:tcMar>
          </w:tcPr>
          <w:p>
            <w:pPr>
              <w:jc w:val="left"/>
            </w:pPr>
            <w:r>
              <w:rPr>
                <w:rFonts w:ascii="Calibri" w:hAnsi="Calibri"/>
                <w:color w:val="0F172A"/>
                <w:sz w:val="19"/>
              </w:rPr>
              <w:t>SA 240 Fraud Detection</w:t>
            </w:r>
          </w:p>
        </w:tc>
      </w:tr>
      <w:tr>
        <w:tc>
          <w:tcPr>
            <w:tcW w:type="dxa" w:w="2160"/>
            <w:shd w:fill="FFFFFF"/>
            <w:tcMar>
              <w:top w:w="100" w:type="dxa"/>
              <w:bottom w:w="100" w:type="dxa"/>
              <w:left w:w="160" w:type="dxa"/>
              <w:right w:w="160" w:type="dxa"/>
            </w:tcMar>
          </w:tcPr>
          <w:p>
            <w:pPr>
              <w:jc w:val="left"/>
            </w:pPr>
            <w:r>
              <w:rPr>
                <w:rFonts w:ascii="Calibri" w:hAnsi="Calibri"/>
                <w:color w:val="0F172A"/>
                <w:sz w:val="19"/>
              </w:rPr>
              <w:t>GST Reconciliation</w:t>
            </w:r>
          </w:p>
        </w:tc>
        <w:tc>
          <w:tcPr>
            <w:tcW w:type="dxa" w:w="2880"/>
            <w:shd w:fill="FFFFFF"/>
            <w:tcMar>
              <w:top w:w="100" w:type="dxa"/>
              <w:bottom w:w="100" w:type="dxa"/>
              <w:left w:w="160" w:type="dxa"/>
              <w:right w:w="160" w:type="dxa"/>
            </w:tcMar>
          </w:tcPr>
          <w:p>
            <w:pPr>
              <w:jc w:val="left"/>
            </w:pPr>
            <w:r>
              <w:rPr>
                <w:rFonts w:ascii="Calibri" w:hAnsi="Calibri"/>
                <w:color w:val="0F172A"/>
                <w:sz w:val="19"/>
              </w:rPr>
              <w:t>Multi-way GSTR-2B vs 3B matching</w:t>
            </w:r>
          </w:p>
        </w:tc>
        <w:tc>
          <w:tcPr>
            <w:tcW w:type="dxa" w:w="2160"/>
            <w:shd w:fill="FFFFFF"/>
            <w:tcMar>
              <w:top w:w="100" w:type="dxa"/>
              <w:bottom w:w="100" w:type="dxa"/>
              <w:left w:w="160" w:type="dxa"/>
              <w:right w:w="160" w:type="dxa"/>
            </w:tcMar>
          </w:tcPr>
          <w:p>
            <w:pPr>
              <w:jc w:val="left"/>
            </w:pPr>
            <w:r>
              <w:rPr>
                <w:rFonts w:ascii="Calibri" w:hAnsi="Calibri"/>
                <w:color w:val="0F172A"/>
                <w:sz w:val="19"/>
              </w:rPr>
              <w:t>Pandas, Tabular Matchers</w:t>
            </w:r>
          </w:p>
        </w:tc>
        <w:tc>
          <w:tcPr>
            <w:tcW w:type="dxa" w:w="2160"/>
            <w:shd w:fill="FFFFFF"/>
            <w:tcMar>
              <w:top w:w="100" w:type="dxa"/>
              <w:bottom w:w="100" w:type="dxa"/>
              <w:left w:w="160" w:type="dxa"/>
              <w:right w:w="160" w:type="dxa"/>
            </w:tcMar>
          </w:tcPr>
          <w:p>
            <w:pPr>
              <w:jc w:val="left"/>
            </w:pPr>
            <w:r>
              <w:rPr>
                <w:rFonts w:ascii="Calibri" w:hAnsi="Calibri"/>
                <w:color w:val="0F172A"/>
                <w:sz w:val="19"/>
              </w:rPr>
              <w:t>ITC Mismatch &amp; Penalty Risk</w:t>
            </w:r>
          </w:p>
        </w:tc>
      </w:tr>
      <w:tr>
        <w:tc>
          <w:tcPr>
            <w:tcW w:type="dxa" w:w="2160"/>
            <w:shd w:fill="F8FAFC"/>
            <w:tcMar>
              <w:top w:w="100" w:type="dxa"/>
              <w:bottom w:w="100" w:type="dxa"/>
              <w:left w:w="160" w:type="dxa"/>
              <w:right w:w="160" w:type="dxa"/>
            </w:tcMar>
          </w:tcPr>
          <w:p>
            <w:pPr>
              <w:jc w:val="left"/>
            </w:pPr>
            <w:r>
              <w:rPr>
                <w:rFonts w:ascii="Calibri" w:hAnsi="Calibri"/>
                <w:color w:val="0F172A"/>
                <w:sz w:val="19"/>
              </w:rPr>
              <w:t>Offline AI Copilot</w:t>
            </w:r>
          </w:p>
        </w:tc>
        <w:tc>
          <w:tcPr>
            <w:tcW w:type="dxa" w:w="2880"/>
            <w:shd w:fill="F8FAFC"/>
            <w:tcMar>
              <w:top w:w="100" w:type="dxa"/>
              <w:bottom w:w="100" w:type="dxa"/>
              <w:left w:w="160" w:type="dxa"/>
              <w:right w:w="160" w:type="dxa"/>
            </w:tcMar>
          </w:tcPr>
          <w:p>
            <w:pPr>
              <w:jc w:val="left"/>
            </w:pPr>
            <w:r>
              <w:rPr>
                <w:rFonts w:ascii="Calibri" w:hAnsi="Calibri"/>
                <w:color w:val="0F172A"/>
                <w:sz w:val="19"/>
              </w:rPr>
              <w:t>RAG vector retrieval &amp; findings</w:t>
            </w:r>
          </w:p>
        </w:tc>
        <w:tc>
          <w:tcPr>
            <w:tcW w:type="dxa" w:w="2160"/>
            <w:shd w:fill="F8FAFC"/>
            <w:tcMar>
              <w:top w:w="100" w:type="dxa"/>
              <w:bottom w:w="100" w:type="dxa"/>
              <w:left w:w="160" w:type="dxa"/>
              <w:right w:w="160" w:type="dxa"/>
            </w:tcMar>
          </w:tcPr>
          <w:p>
            <w:pPr>
              <w:jc w:val="left"/>
            </w:pPr>
            <w:r>
              <w:rPr>
                <w:rFonts w:ascii="Calibri" w:hAnsi="Calibri"/>
                <w:color w:val="0F172A"/>
                <w:sz w:val="19"/>
              </w:rPr>
              <w:t>Ollama, FAISS, Qwen2.5</w:t>
            </w:r>
          </w:p>
        </w:tc>
        <w:tc>
          <w:tcPr>
            <w:tcW w:type="dxa" w:w="2160"/>
            <w:shd w:fill="F8FAFC"/>
            <w:tcMar>
              <w:top w:w="100" w:type="dxa"/>
              <w:bottom w:w="100" w:type="dxa"/>
              <w:left w:w="160" w:type="dxa"/>
              <w:right w:w="160" w:type="dxa"/>
            </w:tcMar>
          </w:tcPr>
          <w:p>
            <w:pPr>
              <w:jc w:val="left"/>
            </w:pPr>
            <w:r>
              <w:rPr>
                <w:rFonts w:ascii="Calibri" w:hAnsi="Calibri"/>
                <w:color w:val="0F172A"/>
                <w:sz w:val="19"/>
              </w:rPr>
              <w:t>SA 500 Audit Evidence Citation</w:t>
            </w:r>
          </w:p>
        </w:tc>
      </w:tr>
      <w:tr>
        <w:tc>
          <w:tcPr>
            <w:tcW w:type="dxa" w:w="2160"/>
            <w:shd w:fill="FFFFFF"/>
            <w:tcMar>
              <w:top w:w="100" w:type="dxa"/>
              <w:bottom w:w="100" w:type="dxa"/>
              <w:left w:w="160" w:type="dxa"/>
              <w:right w:w="160" w:type="dxa"/>
            </w:tcMar>
          </w:tcPr>
          <w:p>
            <w:pPr>
              <w:jc w:val="left"/>
            </w:pPr>
            <w:r>
              <w:rPr>
                <w:rFonts w:ascii="Calibri" w:hAnsi="Calibri"/>
                <w:color w:val="0F172A"/>
                <w:sz w:val="19"/>
              </w:rPr>
              <w:t>Risk Analytics</w:t>
            </w:r>
          </w:p>
        </w:tc>
        <w:tc>
          <w:tcPr>
            <w:tcW w:type="dxa" w:w="2880"/>
            <w:shd w:fill="FFFFFF"/>
            <w:tcMar>
              <w:top w:w="100" w:type="dxa"/>
              <w:bottom w:w="100" w:type="dxa"/>
              <w:left w:w="160" w:type="dxa"/>
              <w:right w:w="160" w:type="dxa"/>
            </w:tcMar>
          </w:tcPr>
          <w:p>
            <w:pPr>
              <w:jc w:val="left"/>
            </w:pPr>
            <w:r>
              <w:rPr>
                <w:rFonts w:ascii="Calibri" w:hAnsi="Calibri"/>
                <w:color w:val="0F172A"/>
                <w:sz w:val="19"/>
              </w:rPr>
              <w:t>Visual heatmap &amp; risk scoring</w:t>
            </w:r>
          </w:p>
        </w:tc>
        <w:tc>
          <w:tcPr>
            <w:tcW w:type="dxa" w:w="2160"/>
            <w:shd w:fill="FFFFFF"/>
            <w:tcMar>
              <w:top w:w="100" w:type="dxa"/>
              <w:bottom w:w="100" w:type="dxa"/>
              <w:left w:w="160" w:type="dxa"/>
              <w:right w:w="160" w:type="dxa"/>
            </w:tcMar>
          </w:tcPr>
          <w:p>
            <w:pPr>
              <w:jc w:val="left"/>
            </w:pPr>
            <w:r>
              <w:rPr>
                <w:rFonts w:ascii="Calibri" w:hAnsi="Calibri"/>
                <w:color w:val="0F172A"/>
                <w:sz w:val="19"/>
              </w:rPr>
              <w:t>QtCharts, Matplotlib</w:t>
            </w:r>
          </w:p>
        </w:tc>
        <w:tc>
          <w:tcPr>
            <w:tcW w:type="dxa" w:w="2160"/>
            <w:shd w:fill="FFFFFF"/>
            <w:tcMar>
              <w:top w:w="100" w:type="dxa"/>
              <w:bottom w:w="100" w:type="dxa"/>
              <w:left w:w="160" w:type="dxa"/>
              <w:right w:w="160" w:type="dxa"/>
            </w:tcMar>
          </w:tcPr>
          <w:p>
            <w:pPr>
              <w:jc w:val="left"/>
            </w:pPr>
            <w:r>
              <w:rPr>
                <w:rFonts w:ascii="Calibri" w:hAnsi="Calibri"/>
                <w:color w:val="0F172A"/>
                <w:sz w:val="19"/>
              </w:rPr>
              <w:t>Portfolio risk monitoring</w:t>
            </w:r>
          </w:p>
        </w:tc>
      </w:tr>
      <w:tr>
        <w:tc>
          <w:tcPr>
            <w:tcW w:type="dxa" w:w="2160"/>
            <w:shd w:fill="F8FAFC"/>
            <w:tcMar>
              <w:top w:w="100" w:type="dxa"/>
              <w:bottom w:w="100" w:type="dxa"/>
              <w:left w:w="160" w:type="dxa"/>
              <w:right w:w="160" w:type="dxa"/>
            </w:tcMar>
          </w:tcPr>
          <w:p>
            <w:pPr>
              <w:jc w:val="left"/>
            </w:pPr>
            <w:r>
              <w:rPr>
                <w:rFonts w:ascii="Calibri" w:hAnsi="Calibri"/>
                <w:color w:val="0F172A"/>
                <w:sz w:val="19"/>
              </w:rPr>
              <w:t>Working Papers &amp; Reports</w:t>
            </w:r>
          </w:p>
        </w:tc>
        <w:tc>
          <w:tcPr>
            <w:tcW w:type="dxa" w:w="2880"/>
            <w:shd w:fill="F8FAFC"/>
            <w:tcMar>
              <w:top w:w="100" w:type="dxa"/>
              <w:bottom w:w="100" w:type="dxa"/>
              <w:left w:w="160" w:type="dxa"/>
              <w:right w:w="160" w:type="dxa"/>
            </w:tcMar>
          </w:tcPr>
          <w:p>
            <w:pPr>
              <w:jc w:val="left"/>
            </w:pPr>
            <w:r>
              <w:rPr>
                <w:rFonts w:ascii="Calibri" w:hAnsi="Calibri"/>
                <w:color w:val="0F172A"/>
                <w:sz w:val="19"/>
              </w:rPr>
              <w:t>Audit drafting &amp; PDF export</w:t>
            </w:r>
          </w:p>
        </w:tc>
        <w:tc>
          <w:tcPr>
            <w:tcW w:type="dxa" w:w="2160"/>
            <w:shd w:fill="F8FAFC"/>
            <w:tcMar>
              <w:top w:w="100" w:type="dxa"/>
              <w:bottom w:w="100" w:type="dxa"/>
              <w:left w:w="160" w:type="dxa"/>
              <w:right w:w="160" w:type="dxa"/>
            </w:tcMar>
          </w:tcPr>
          <w:p>
            <w:pPr>
              <w:jc w:val="left"/>
            </w:pPr>
            <w:r>
              <w:rPr>
                <w:rFonts w:ascii="Calibri" w:hAnsi="Calibri"/>
                <w:color w:val="0F172A"/>
                <w:sz w:val="19"/>
              </w:rPr>
              <w:t>ReportLab, Jinja2, PyPDF</w:t>
            </w:r>
          </w:p>
        </w:tc>
        <w:tc>
          <w:tcPr>
            <w:tcW w:type="dxa" w:w="2160"/>
            <w:shd w:fill="F8FAFC"/>
            <w:tcMar>
              <w:top w:w="100" w:type="dxa"/>
              <w:bottom w:w="100" w:type="dxa"/>
              <w:left w:w="160" w:type="dxa"/>
              <w:right w:w="160" w:type="dxa"/>
            </w:tcMar>
          </w:tcPr>
          <w:p>
            <w:pPr>
              <w:jc w:val="left"/>
            </w:pPr>
            <w:r>
              <w:rPr>
                <w:rFonts w:ascii="Calibri" w:hAnsi="Calibri"/>
                <w:color w:val="0F172A"/>
                <w:sz w:val="19"/>
              </w:rPr>
              <w:t>ICAI SA 700/705 Report Standard</w:t>
            </w:r>
          </w:p>
        </w:tc>
      </w:tr>
      <w:tr>
        <w:tc>
          <w:tcPr>
            <w:tcW w:type="dxa" w:w="2160"/>
            <w:shd w:fill="FFFFFF"/>
            <w:tcMar>
              <w:top w:w="100" w:type="dxa"/>
              <w:bottom w:w="100" w:type="dxa"/>
              <w:left w:w="160" w:type="dxa"/>
              <w:right w:w="160" w:type="dxa"/>
            </w:tcMar>
          </w:tcPr>
          <w:p>
            <w:pPr>
              <w:jc w:val="left"/>
            </w:pPr>
            <w:r>
              <w:rPr>
                <w:rFonts w:ascii="Calibri" w:hAnsi="Calibri"/>
                <w:color w:val="0F172A"/>
                <w:sz w:val="19"/>
              </w:rPr>
              <w:t>Security &amp; Audit Log</w:t>
            </w:r>
          </w:p>
        </w:tc>
        <w:tc>
          <w:tcPr>
            <w:tcW w:type="dxa" w:w="2880"/>
            <w:shd w:fill="FFFFFF"/>
            <w:tcMar>
              <w:top w:w="100" w:type="dxa"/>
              <w:bottom w:w="100" w:type="dxa"/>
              <w:left w:w="160" w:type="dxa"/>
              <w:right w:w="160" w:type="dxa"/>
            </w:tcMar>
          </w:tcPr>
          <w:p>
            <w:pPr>
              <w:jc w:val="left"/>
            </w:pPr>
            <w:r>
              <w:rPr>
                <w:rFonts w:ascii="Calibri" w:hAnsi="Calibri"/>
                <w:color w:val="0F172A"/>
                <w:sz w:val="19"/>
              </w:rPr>
              <w:t>AES-256 encryption &amp; hash chain</w:t>
            </w:r>
          </w:p>
        </w:tc>
        <w:tc>
          <w:tcPr>
            <w:tcW w:type="dxa" w:w="2160"/>
            <w:shd w:fill="FFFFFF"/>
            <w:tcMar>
              <w:top w:w="100" w:type="dxa"/>
              <w:bottom w:w="100" w:type="dxa"/>
              <w:left w:w="160" w:type="dxa"/>
              <w:right w:w="160" w:type="dxa"/>
            </w:tcMar>
          </w:tcPr>
          <w:p>
            <w:pPr>
              <w:jc w:val="left"/>
            </w:pPr>
            <w:r>
              <w:rPr>
                <w:rFonts w:ascii="Calibri" w:hAnsi="Calibri"/>
                <w:color w:val="0F172A"/>
                <w:sz w:val="19"/>
              </w:rPr>
              <w:t>Cryptography, SHA-256</w:t>
            </w:r>
          </w:p>
        </w:tc>
        <w:tc>
          <w:tcPr>
            <w:tcW w:type="dxa" w:w="2160"/>
            <w:shd w:fill="FFFFFF"/>
            <w:tcMar>
              <w:top w:w="100" w:type="dxa"/>
              <w:bottom w:w="100" w:type="dxa"/>
              <w:left w:w="160" w:type="dxa"/>
              <w:right w:w="160" w:type="dxa"/>
            </w:tcMar>
          </w:tcPr>
          <w:p>
            <w:pPr>
              <w:jc w:val="left"/>
            </w:pPr>
            <w:r>
              <w:rPr>
                <w:rFonts w:ascii="Calibri" w:hAnsi="Calibri"/>
                <w:color w:val="0F172A"/>
                <w:sz w:val="19"/>
              </w:rPr>
              <w:t>Data privacy &amp; legal compliance</w:t>
            </w:r>
          </w:p>
        </w:tc>
      </w:tr>
    </w:tbl>
    <w:p>
      <w:r>
        <w:br w:type="page"/>
      </w:r>
    </w:p>
    <w:p>
      <w:pPr>
        <w:keepNext/>
        <w:spacing w:before="360" w:after="160"/>
      </w:pPr>
      <w:r>
        <w:rPr>
          <w:rFonts w:ascii="Calibri" w:hAnsi="Calibri"/>
          <w:b/>
          <w:color w:val="1E3A8A"/>
          <w:sz w:val="36"/>
        </w:rPr>
        <w:t>2. Minimum System Requirements to Run This Project</w:t>
      </w:r>
    </w:p>
    <w:p>
      <w:pPr>
        <w:spacing w:before="0" w:after="120" w:line="276" w:lineRule="auto"/>
      </w:pPr>
      <w:r>
        <w:rPr>
          <w:rFonts w:ascii="Calibri" w:hAnsi="Calibri"/>
          <w:color w:val="334155"/>
          <w:sz w:val="22"/>
        </w:rPr>
        <w:t>Because FinAuditPro runs an embedded local AI model (Ollama RAG) and performs heavy OCR and statistical vector processing completely offline, the system hardware and software environment must meet specific baseline criteria for optimal performance.</w:t>
      </w:r>
    </w:p>
    <w:p>
      <w:pPr>
        <w:keepNext/>
        <w:spacing w:before="280" w:after="120"/>
      </w:pPr>
      <w:r>
        <w:rPr>
          <w:rFonts w:ascii="Calibri" w:hAnsi="Calibri"/>
          <w:b/>
          <w:color w:val="2563EB"/>
          <w:sz w:val="28"/>
        </w:rPr>
        <w:t>2.1 Hardware Requirements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40" w:type="dxa"/>
              <w:bottom w:w="140" w:type="dxa"/>
              <w:left w:w="180" w:type="dxa"/>
              <w:right w:w="180" w:type="dxa"/>
            </w:tcMar>
          </w:tcPr>
          <w:p>
            <w:pPr>
              <w:jc w:val="left"/>
            </w:pPr>
            <w:r>
              <w:rPr>
                <w:rFonts w:ascii="Calibri" w:hAnsi="Calibri"/>
                <w:b/>
                <w:color w:val="FFFFFF"/>
                <w:sz w:val="20"/>
              </w:rPr>
              <w:t>Hardware Resource</w:t>
            </w:r>
          </w:p>
        </w:tc>
        <w:tc>
          <w:tcPr>
            <w:tcW w:type="dxa" w:w="3312"/>
            <w:shd w:fill="1E3A8A"/>
            <w:tcMar>
              <w:top w:w="140" w:type="dxa"/>
              <w:bottom w:w="140" w:type="dxa"/>
              <w:left w:w="180" w:type="dxa"/>
              <w:right w:w="180" w:type="dxa"/>
            </w:tcMar>
          </w:tcPr>
          <w:p>
            <w:pPr>
              <w:jc w:val="left"/>
            </w:pPr>
            <w:r>
              <w:rPr>
                <w:rFonts w:ascii="Calibri" w:hAnsi="Calibri"/>
                <w:b/>
                <w:color w:val="FFFFFF"/>
                <w:sz w:val="20"/>
              </w:rPr>
              <w:t>Minimum Specification</w:t>
            </w:r>
          </w:p>
        </w:tc>
        <w:tc>
          <w:tcPr>
            <w:tcW w:type="dxa" w:w="3456"/>
            <w:shd w:fill="1E3A8A"/>
            <w:tcMar>
              <w:top w:w="140" w:type="dxa"/>
              <w:bottom w:w="140" w:type="dxa"/>
              <w:left w:w="180" w:type="dxa"/>
              <w:right w:w="180" w:type="dxa"/>
            </w:tcMar>
          </w:tcPr>
          <w:p>
            <w:pPr>
              <w:jc w:val="left"/>
            </w:pPr>
            <w:r>
              <w:rPr>
                <w:rFonts w:ascii="Calibri" w:hAnsi="Calibri"/>
                <w:b/>
                <w:color w:val="FFFFFF"/>
                <w:sz w:val="20"/>
              </w:rPr>
              <w:t>Recommended Specification</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Processor (CPU)</w:t>
            </w:r>
          </w:p>
        </w:tc>
        <w:tc>
          <w:tcPr>
            <w:tcW w:type="dxa" w:w="3312"/>
            <w:shd w:fill="FFFFFF"/>
            <w:tcMar>
              <w:top w:w="100" w:type="dxa"/>
              <w:bottom w:w="100" w:type="dxa"/>
              <w:left w:w="160" w:type="dxa"/>
              <w:right w:w="160" w:type="dxa"/>
            </w:tcMar>
          </w:tcPr>
          <w:p>
            <w:pPr>
              <w:jc w:val="left"/>
            </w:pPr>
            <w:r>
              <w:rPr>
                <w:rFonts w:ascii="Calibri" w:hAnsi="Calibri"/>
                <w:color w:val="0F172A"/>
                <w:sz w:val="19"/>
              </w:rPr>
              <w:t>Quad-Core x86_64 CPU @ 2.5 GHz</w:t>
              <w:br/>
              <w:t>(Intel Core i5 10th Gen / AMD Ryzen 5 3600)</w:t>
            </w:r>
          </w:p>
        </w:tc>
        <w:tc>
          <w:tcPr>
            <w:tcW w:type="dxa" w:w="3456"/>
            <w:shd w:fill="FFFFFF"/>
            <w:tcMar>
              <w:top w:w="100" w:type="dxa"/>
              <w:bottom w:w="100" w:type="dxa"/>
              <w:left w:w="160" w:type="dxa"/>
              <w:right w:w="160" w:type="dxa"/>
            </w:tcMar>
          </w:tcPr>
          <w:p>
            <w:pPr>
              <w:jc w:val="left"/>
            </w:pPr>
            <w:r>
              <w:rPr>
                <w:rFonts w:ascii="Calibri" w:hAnsi="Calibri"/>
                <w:color w:val="0F172A"/>
                <w:sz w:val="19"/>
              </w:rPr>
              <w:t>Octa-Core x86_64 CPU @ 3.5 GHz+</w:t>
              <w:br/>
              <w:t>(Intel Core i7 12th Gen / AMD Ryzen 7 5800X / Apple M1/M2/M3)</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System Memory (RAM)</w:t>
            </w:r>
          </w:p>
        </w:tc>
        <w:tc>
          <w:tcPr>
            <w:tcW w:type="dxa" w:w="3312"/>
            <w:shd w:fill="F8FAFC"/>
            <w:tcMar>
              <w:top w:w="100" w:type="dxa"/>
              <w:bottom w:w="100" w:type="dxa"/>
              <w:left w:w="160" w:type="dxa"/>
              <w:right w:w="160" w:type="dxa"/>
            </w:tcMar>
          </w:tcPr>
          <w:p>
            <w:pPr>
              <w:jc w:val="left"/>
            </w:pPr>
            <w:r>
              <w:rPr>
                <w:rFonts w:ascii="Calibri" w:hAnsi="Calibri"/>
                <w:color w:val="0F172A"/>
                <w:sz w:val="19"/>
              </w:rPr>
              <w:t>8 GB DDR4 RAM</w:t>
            </w:r>
          </w:p>
        </w:tc>
        <w:tc>
          <w:tcPr>
            <w:tcW w:type="dxa" w:w="3456"/>
            <w:shd w:fill="F8FAFC"/>
            <w:tcMar>
              <w:top w:w="100" w:type="dxa"/>
              <w:bottom w:w="100" w:type="dxa"/>
              <w:left w:w="160" w:type="dxa"/>
              <w:right w:w="160" w:type="dxa"/>
            </w:tcMar>
          </w:tcPr>
          <w:p>
            <w:pPr>
              <w:jc w:val="left"/>
            </w:pPr>
            <w:r>
              <w:rPr>
                <w:rFonts w:ascii="Calibri" w:hAnsi="Calibri"/>
                <w:color w:val="0F172A"/>
                <w:sz w:val="19"/>
              </w:rPr>
              <w:t>16 GB to 32 GB DDR4/DDR5 RAM</w:t>
              <w:br/>
              <w:t>(Required for high-speed local 7B LLM inference)</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Storage Space</w:t>
            </w:r>
          </w:p>
        </w:tc>
        <w:tc>
          <w:tcPr>
            <w:tcW w:type="dxa" w:w="3312"/>
            <w:shd w:fill="FFFFFF"/>
            <w:tcMar>
              <w:top w:w="100" w:type="dxa"/>
              <w:bottom w:w="100" w:type="dxa"/>
              <w:left w:w="160" w:type="dxa"/>
              <w:right w:w="160" w:type="dxa"/>
            </w:tcMar>
          </w:tcPr>
          <w:p>
            <w:pPr>
              <w:jc w:val="left"/>
            </w:pPr>
            <w:r>
              <w:rPr>
                <w:rFonts w:ascii="Calibri" w:hAnsi="Calibri"/>
                <w:color w:val="0F172A"/>
                <w:sz w:val="19"/>
              </w:rPr>
              <w:t>10 GB free Solid State Drive (SSD) space</w:t>
            </w:r>
          </w:p>
        </w:tc>
        <w:tc>
          <w:tcPr>
            <w:tcW w:type="dxa" w:w="3456"/>
            <w:shd w:fill="FFFFFF"/>
            <w:tcMar>
              <w:top w:w="100" w:type="dxa"/>
              <w:bottom w:w="100" w:type="dxa"/>
              <w:left w:w="160" w:type="dxa"/>
              <w:right w:w="160" w:type="dxa"/>
            </w:tcMar>
          </w:tcPr>
          <w:p>
            <w:pPr>
              <w:jc w:val="left"/>
            </w:pPr>
            <w:r>
              <w:rPr>
                <w:rFonts w:ascii="Calibri" w:hAnsi="Calibri"/>
                <w:color w:val="0F172A"/>
                <w:sz w:val="19"/>
              </w:rPr>
              <w:t>25 GB free NVMe M.2 SSD space</w:t>
              <w:br/>
              <w:t>(For storing LLM quantized weights, database &amp; vector indices)</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Graphics Processing (GPU)</w:t>
            </w:r>
          </w:p>
        </w:tc>
        <w:tc>
          <w:tcPr>
            <w:tcW w:type="dxa" w:w="3312"/>
            <w:shd w:fill="F8FAFC"/>
            <w:tcMar>
              <w:top w:w="100" w:type="dxa"/>
              <w:bottom w:w="100" w:type="dxa"/>
              <w:left w:w="160" w:type="dxa"/>
              <w:right w:w="160" w:type="dxa"/>
            </w:tcMar>
          </w:tcPr>
          <w:p>
            <w:pPr>
              <w:jc w:val="left"/>
            </w:pPr>
            <w:r>
              <w:rPr>
                <w:rFonts w:ascii="Calibri" w:hAnsi="Calibri"/>
                <w:color w:val="0F172A"/>
                <w:sz w:val="19"/>
              </w:rPr>
              <w:t>Integrated Intel UHD Graphics / AMD Radeon Graphics</w:t>
            </w:r>
          </w:p>
        </w:tc>
        <w:tc>
          <w:tcPr>
            <w:tcW w:type="dxa" w:w="3456"/>
            <w:shd w:fill="F8FAFC"/>
            <w:tcMar>
              <w:top w:w="100" w:type="dxa"/>
              <w:bottom w:w="100" w:type="dxa"/>
              <w:left w:w="160" w:type="dxa"/>
              <w:right w:w="160" w:type="dxa"/>
            </w:tcMar>
          </w:tcPr>
          <w:p>
            <w:pPr>
              <w:jc w:val="left"/>
            </w:pPr>
            <w:r>
              <w:rPr>
                <w:rFonts w:ascii="Calibri" w:hAnsi="Calibri"/>
                <w:color w:val="0F172A"/>
                <w:sz w:val="19"/>
              </w:rPr>
              <w:t>Dedicated NVIDIA GPU with 6GB+ VRAM (CUDA 11.8+)</w:t>
              <w:br/>
              <w:t>or Apple Silicon Unified Memory Acceleration</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Display Resolution</w:t>
            </w:r>
          </w:p>
        </w:tc>
        <w:tc>
          <w:tcPr>
            <w:tcW w:type="dxa" w:w="3312"/>
            <w:shd w:fill="FFFFFF"/>
            <w:tcMar>
              <w:top w:w="100" w:type="dxa"/>
              <w:bottom w:w="100" w:type="dxa"/>
              <w:left w:w="160" w:type="dxa"/>
              <w:right w:w="160" w:type="dxa"/>
            </w:tcMar>
          </w:tcPr>
          <w:p>
            <w:pPr>
              <w:jc w:val="left"/>
            </w:pPr>
            <w:r>
              <w:rPr>
                <w:rFonts w:ascii="Calibri" w:hAnsi="Calibri"/>
                <w:color w:val="0F172A"/>
                <w:sz w:val="19"/>
              </w:rPr>
              <w:t>1280 x 720 (HD)</w:t>
            </w:r>
          </w:p>
        </w:tc>
        <w:tc>
          <w:tcPr>
            <w:tcW w:type="dxa" w:w="3456"/>
            <w:shd w:fill="FFFFFF"/>
            <w:tcMar>
              <w:top w:w="100" w:type="dxa"/>
              <w:bottom w:w="100" w:type="dxa"/>
              <w:left w:w="160" w:type="dxa"/>
              <w:right w:w="160" w:type="dxa"/>
            </w:tcMar>
          </w:tcPr>
          <w:p>
            <w:pPr>
              <w:jc w:val="left"/>
            </w:pPr>
            <w:r>
              <w:rPr>
                <w:rFonts w:ascii="Calibri" w:hAnsi="Calibri"/>
                <w:color w:val="0F172A"/>
                <w:sz w:val="19"/>
              </w:rPr>
              <w:t>1920 x 1080 (Full HD) or higher</w:t>
              <w:br/>
              <w:t>(Optimized for split-pane document AI view)</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Input Peripherals</w:t>
            </w:r>
          </w:p>
        </w:tc>
        <w:tc>
          <w:tcPr>
            <w:tcW w:type="dxa" w:w="3312"/>
            <w:shd w:fill="F8FAFC"/>
            <w:tcMar>
              <w:top w:w="100" w:type="dxa"/>
              <w:bottom w:w="100" w:type="dxa"/>
              <w:left w:w="160" w:type="dxa"/>
              <w:right w:w="160" w:type="dxa"/>
            </w:tcMar>
          </w:tcPr>
          <w:p>
            <w:pPr>
              <w:jc w:val="left"/>
            </w:pPr>
            <w:r>
              <w:rPr>
                <w:rFonts w:ascii="Calibri" w:hAnsi="Calibri"/>
                <w:color w:val="0F172A"/>
                <w:sz w:val="19"/>
              </w:rPr>
              <w:t>Standard Keyboard and Mouse</w:t>
            </w:r>
          </w:p>
        </w:tc>
        <w:tc>
          <w:tcPr>
            <w:tcW w:type="dxa" w:w="3456"/>
            <w:shd w:fill="F8FAFC"/>
            <w:tcMar>
              <w:top w:w="100" w:type="dxa"/>
              <w:bottom w:w="100" w:type="dxa"/>
              <w:left w:w="160" w:type="dxa"/>
              <w:right w:w="160" w:type="dxa"/>
            </w:tcMar>
          </w:tcPr>
          <w:p>
            <w:pPr>
              <w:jc w:val="left"/>
            </w:pPr>
            <w:r>
              <w:rPr>
                <w:rFonts w:ascii="Calibri" w:hAnsi="Calibri"/>
                <w:color w:val="0F172A"/>
                <w:sz w:val="19"/>
              </w:rPr>
              <w:t>Standard Keyboard and Precision Mouse / Trackpad</w:t>
            </w:r>
          </w:p>
        </w:tc>
      </w:tr>
    </w:tbl>
    <w:p>
      <w:pPr>
        <w:keepNext/>
        <w:spacing w:before="280" w:after="120"/>
      </w:pPr>
      <w:r>
        <w:rPr>
          <w:rFonts w:ascii="Calibri" w:hAnsi="Calibri"/>
          <w:b/>
          <w:color w:val="2563EB"/>
          <w:sz w:val="28"/>
        </w:rPr>
        <w:t>2.2 Software Requirements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40" w:type="dxa"/>
              <w:bottom w:w="140" w:type="dxa"/>
              <w:left w:w="180" w:type="dxa"/>
              <w:right w:w="180" w:type="dxa"/>
            </w:tcMar>
          </w:tcPr>
          <w:p>
            <w:pPr>
              <w:jc w:val="left"/>
            </w:pPr>
            <w:r>
              <w:rPr>
                <w:rFonts w:ascii="Calibri" w:hAnsi="Calibri"/>
                <w:b/>
                <w:color w:val="FFFFFF"/>
                <w:sz w:val="20"/>
              </w:rPr>
              <w:t>Software Layer</w:t>
            </w:r>
          </w:p>
        </w:tc>
        <w:tc>
          <w:tcPr>
            <w:tcW w:type="dxa" w:w="3168"/>
            <w:shd w:fill="1E3A8A"/>
            <w:tcMar>
              <w:top w:w="140" w:type="dxa"/>
              <w:bottom w:w="140" w:type="dxa"/>
              <w:left w:w="180" w:type="dxa"/>
              <w:right w:w="180" w:type="dxa"/>
            </w:tcMar>
          </w:tcPr>
          <w:p>
            <w:pPr>
              <w:jc w:val="left"/>
            </w:pPr>
            <w:r>
              <w:rPr>
                <w:rFonts w:ascii="Calibri" w:hAnsi="Calibri"/>
                <w:b/>
                <w:color w:val="FFFFFF"/>
                <w:sz w:val="20"/>
              </w:rPr>
              <w:t>Minimum Version Required</w:t>
            </w:r>
          </w:p>
        </w:tc>
        <w:tc>
          <w:tcPr>
            <w:tcW w:type="dxa" w:w="3600"/>
            <w:shd w:fill="1E3A8A"/>
            <w:tcMar>
              <w:top w:w="140" w:type="dxa"/>
              <w:bottom w:w="140" w:type="dxa"/>
              <w:left w:w="180" w:type="dxa"/>
              <w:right w:w="180" w:type="dxa"/>
            </w:tcMar>
          </w:tcPr>
          <w:p>
            <w:pPr>
              <w:jc w:val="left"/>
            </w:pPr>
            <w:r>
              <w:rPr>
                <w:rFonts w:ascii="Calibri" w:hAnsi="Calibri"/>
                <w:b/>
                <w:color w:val="FFFFFF"/>
                <w:sz w:val="20"/>
              </w:rPr>
              <w:t>Description &amp; Purpose</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Operating System</w:t>
            </w:r>
          </w:p>
        </w:tc>
        <w:tc>
          <w:tcPr>
            <w:tcW w:type="dxa" w:w="3168"/>
            <w:shd w:fill="FFFFFF"/>
            <w:tcMar>
              <w:top w:w="100" w:type="dxa"/>
              <w:bottom w:w="100" w:type="dxa"/>
              <w:left w:w="160" w:type="dxa"/>
              <w:right w:w="160" w:type="dxa"/>
            </w:tcMar>
          </w:tcPr>
          <w:p>
            <w:pPr>
              <w:jc w:val="left"/>
            </w:pPr>
            <w:r>
              <w:rPr>
                <w:rFonts w:ascii="Calibri" w:hAnsi="Calibri"/>
                <w:color w:val="0F172A"/>
                <w:sz w:val="19"/>
              </w:rPr>
              <w:t>Windows 10 (64-bit) build 19041+</w:t>
              <w:br/>
              <w:t>macOS 12.0+ / Ubuntu 20.04 LTS</w:t>
            </w:r>
          </w:p>
        </w:tc>
        <w:tc>
          <w:tcPr>
            <w:tcW w:type="dxa" w:w="3600"/>
            <w:shd w:fill="FFFFFF"/>
            <w:tcMar>
              <w:top w:w="100" w:type="dxa"/>
              <w:bottom w:w="100" w:type="dxa"/>
              <w:left w:w="160" w:type="dxa"/>
              <w:right w:w="160" w:type="dxa"/>
            </w:tcMar>
          </w:tcPr>
          <w:p>
            <w:pPr>
              <w:jc w:val="left"/>
            </w:pPr>
            <w:r>
              <w:rPr>
                <w:rFonts w:ascii="Calibri" w:hAnsi="Calibri"/>
                <w:color w:val="0F172A"/>
                <w:sz w:val="19"/>
              </w:rPr>
              <w:t>Cross-platform desktop operating system support.</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Python Runtime</w:t>
            </w:r>
          </w:p>
        </w:tc>
        <w:tc>
          <w:tcPr>
            <w:tcW w:type="dxa" w:w="3168"/>
            <w:shd w:fill="F8FAFC"/>
            <w:tcMar>
              <w:top w:w="100" w:type="dxa"/>
              <w:bottom w:w="100" w:type="dxa"/>
              <w:left w:w="160" w:type="dxa"/>
              <w:right w:w="160" w:type="dxa"/>
            </w:tcMar>
          </w:tcPr>
          <w:p>
            <w:pPr>
              <w:jc w:val="left"/>
            </w:pPr>
            <w:r>
              <w:rPr>
                <w:rFonts w:ascii="Calibri" w:hAnsi="Calibri"/>
                <w:color w:val="0F172A"/>
                <w:sz w:val="19"/>
              </w:rPr>
              <w:t>Python 3.10.x, 3.11.x, or 3.12.x (64-bit)</w:t>
            </w:r>
          </w:p>
        </w:tc>
        <w:tc>
          <w:tcPr>
            <w:tcW w:type="dxa" w:w="3600"/>
            <w:shd w:fill="F8FAFC"/>
            <w:tcMar>
              <w:top w:w="100" w:type="dxa"/>
              <w:bottom w:w="100" w:type="dxa"/>
              <w:left w:w="160" w:type="dxa"/>
              <w:right w:w="160" w:type="dxa"/>
            </w:tcMar>
          </w:tcPr>
          <w:p>
            <w:pPr>
              <w:jc w:val="left"/>
            </w:pPr>
            <w:r>
              <w:rPr>
                <w:rFonts w:ascii="Calibri" w:hAnsi="Calibri"/>
                <w:color w:val="0F172A"/>
                <w:sz w:val="19"/>
              </w:rPr>
              <w:t>Core runtime environment executing application logic.</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GUI Framework</w:t>
            </w:r>
          </w:p>
        </w:tc>
        <w:tc>
          <w:tcPr>
            <w:tcW w:type="dxa" w:w="3168"/>
            <w:shd w:fill="FFFFFF"/>
            <w:tcMar>
              <w:top w:w="100" w:type="dxa"/>
              <w:bottom w:w="100" w:type="dxa"/>
              <w:left w:w="160" w:type="dxa"/>
              <w:right w:w="160" w:type="dxa"/>
            </w:tcMar>
          </w:tcPr>
          <w:p>
            <w:pPr>
              <w:jc w:val="left"/>
            </w:pPr>
            <w:r>
              <w:rPr>
                <w:rFonts w:ascii="Calibri" w:hAnsi="Calibri"/>
                <w:color w:val="0F172A"/>
                <w:sz w:val="19"/>
              </w:rPr>
              <w:t>PySide6 (Qt 6.5.0 or higher)</w:t>
            </w:r>
          </w:p>
        </w:tc>
        <w:tc>
          <w:tcPr>
            <w:tcW w:type="dxa" w:w="3600"/>
            <w:shd w:fill="FFFFFF"/>
            <w:tcMar>
              <w:top w:w="100" w:type="dxa"/>
              <w:bottom w:w="100" w:type="dxa"/>
              <w:left w:w="160" w:type="dxa"/>
              <w:right w:w="160" w:type="dxa"/>
            </w:tcMar>
          </w:tcPr>
          <w:p>
            <w:pPr>
              <w:jc w:val="left"/>
            </w:pPr>
            <w:r>
              <w:rPr>
                <w:rFonts w:ascii="Calibri" w:hAnsi="Calibri"/>
                <w:color w:val="0F172A"/>
                <w:sz w:val="19"/>
              </w:rPr>
              <w:t>High-performance native desktop GUI rendering.</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Database Engine</w:t>
            </w:r>
          </w:p>
        </w:tc>
        <w:tc>
          <w:tcPr>
            <w:tcW w:type="dxa" w:w="3168"/>
            <w:shd w:fill="F8FAFC"/>
            <w:tcMar>
              <w:top w:w="100" w:type="dxa"/>
              <w:bottom w:w="100" w:type="dxa"/>
              <w:left w:w="160" w:type="dxa"/>
              <w:right w:w="160" w:type="dxa"/>
            </w:tcMar>
          </w:tcPr>
          <w:p>
            <w:pPr>
              <w:jc w:val="left"/>
            </w:pPr>
            <w:r>
              <w:rPr>
                <w:rFonts w:ascii="Calibri" w:hAnsi="Calibri"/>
                <w:color w:val="0F172A"/>
                <w:sz w:val="19"/>
              </w:rPr>
              <w:t>SQLite 3.35.0+ (Bundled)</w:t>
            </w:r>
          </w:p>
        </w:tc>
        <w:tc>
          <w:tcPr>
            <w:tcW w:type="dxa" w:w="3600"/>
            <w:shd w:fill="F8FAFC"/>
            <w:tcMar>
              <w:top w:w="100" w:type="dxa"/>
              <w:bottom w:w="100" w:type="dxa"/>
              <w:left w:w="160" w:type="dxa"/>
              <w:right w:w="160" w:type="dxa"/>
            </w:tcMar>
          </w:tcPr>
          <w:p>
            <w:pPr>
              <w:jc w:val="left"/>
            </w:pPr>
            <w:r>
              <w:rPr>
                <w:rFonts w:ascii="Calibri" w:hAnsi="Calibri"/>
                <w:color w:val="0F172A"/>
                <w:sz w:val="19"/>
              </w:rPr>
              <w:t>Embedded relational data storage with WAL journal mode.</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Database ORM</w:t>
            </w:r>
          </w:p>
        </w:tc>
        <w:tc>
          <w:tcPr>
            <w:tcW w:type="dxa" w:w="3168"/>
            <w:shd w:fill="FFFFFF"/>
            <w:tcMar>
              <w:top w:w="100" w:type="dxa"/>
              <w:bottom w:w="100" w:type="dxa"/>
              <w:left w:w="160" w:type="dxa"/>
              <w:right w:w="160" w:type="dxa"/>
            </w:tcMar>
          </w:tcPr>
          <w:p>
            <w:pPr>
              <w:jc w:val="left"/>
            </w:pPr>
            <w:r>
              <w:rPr>
                <w:rFonts w:ascii="Calibri" w:hAnsi="Calibri"/>
                <w:color w:val="0F172A"/>
                <w:sz w:val="19"/>
              </w:rPr>
              <w:t>SQLAlchemy 2.0.0+</w:t>
            </w:r>
          </w:p>
        </w:tc>
        <w:tc>
          <w:tcPr>
            <w:tcW w:type="dxa" w:w="3600"/>
            <w:shd w:fill="FFFFFF"/>
            <w:tcMar>
              <w:top w:w="100" w:type="dxa"/>
              <w:bottom w:w="100" w:type="dxa"/>
              <w:left w:w="160" w:type="dxa"/>
              <w:right w:w="160" w:type="dxa"/>
            </w:tcMar>
          </w:tcPr>
          <w:p>
            <w:pPr>
              <w:jc w:val="left"/>
            </w:pPr>
            <w:r>
              <w:rPr>
                <w:rFonts w:ascii="Calibri" w:hAnsi="Calibri"/>
                <w:color w:val="0F172A"/>
                <w:sz w:val="19"/>
              </w:rPr>
              <w:t>Object-relational mapping and transaction management.</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Local AI Service Engine</w:t>
            </w:r>
          </w:p>
        </w:tc>
        <w:tc>
          <w:tcPr>
            <w:tcW w:type="dxa" w:w="3168"/>
            <w:shd w:fill="F8FAFC"/>
            <w:tcMar>
              <w:top w:w="100" w:type="dxa"/>
              <w:bottom w:w="100" w:type="dxa"/>
              <w:left w:w="160" w:type="dxa"/>
              <w:right w:w="160" w:type="dxa"/>
            </w:tcMar>
          </w:tcPr>
          <w:p>
            <w:pPr>
              <w:jc w:val="left"/>
            </w:pPr>
            <w:r>
              <w:rPr>
                <w:rFonts w:ascii="Calibri" w:hAnsi="Calibri"/>
                <w:color w:val="0F172A"/>
                <w:sz w:val="19"/>
              </w:rPr>
              <w:t>Ollama Desktop / Daemon v0.1.30+</w:t>
            </w:r>
          </w:p>
        </w:tc>
        <w:tc>
          <w:tcPr>
            <w:tcW w:type="dxa" w:w="3600"/>
            <w:shd w:fill="F8FAFC"/>
            <w:tcMar>
              <w:top w:w="100" w:type="dxa"/>
              <w:bottom w:w="100" w:type="dxa"/>
              <w:left w:w="160" w:type="dxa"/>
              <w:right w:w="160" w:type="dxa"/>
            </w:tcMar>
          </w:tcPr>
          <w:p>
            <w:pPr>
              <w:jc w:val="left"/>
            </w:pPr>
            <w:r>
              <w:rPr>
                <w:rFonts w:ascii="Calibri" w:hAnsi="Calibri"/>
                <w:color w:val="0F172A"/>
                <w:sz w:val="19"/>
              </w:rPr>
              <w:t>Local LLM inference manager executing GGUF quantized models.</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Local LLM Weights</w:t>
            </w:r>
          </w:p>
        </w:tc>
        <w:tc>
          <w:tcPr>
            <w:tcW w:type="dxa" w:w="3168"/>
            <w:shd w:fill="FFFFFF"/>
            <w:tcMar>
              <w:top w:w="100" w:type="dxa"/>
              <w:bottom w:w="100" w:type="dxa"/>
              <w:left w:w="160" w:type="dxa"/>
              <w:right w:w="160" w:type="dxa"/>
            </w:tcMar>
          </w:tcPr>
          <w:p>
            <w:pPr>
              <w:jc w:val="left"/>
            </w:pPr>
            <w:r>
              <w:rPr>
                <w:rFonts w:ascii="Calibri" w:hAnsi="Calibri"/>
                <w:color w:val="0F172A"/>
                <w:sz w:val="19"/>
              </w:rPr>
              <w:t>qwen2.5-coder:7b or llama3.2:3b</w:t>
            </w:r>
          </w:p>
        </w:tc>
        <w:tc>
          <w:tcPr>
            <w:tcW w:type="dxa" w:w="3600"/>
            <w:shd w:fill="FFFFFF"/>
            <w:tcMar>
              <w:top w:w="100" w:type="dxa"/>
              <w:bottom w:w="100" w:type="dxa"/>
              <w:left w:w="160" w:type="dxa"/>
              <w:right w:w="160" w:type="dxa"/>
            </w:tcMar>
          </w:tcPr>
          <w:p>
            <w:pPr>
              <w:jc w:val="left"/>
            </w:pPr>
            <w:r>
              <w:rPr>
                <w:rFonts w:ascii="Calibri" w:hAnsi="Calibri"/>
                <w:color w:val="0F172A"/>
                <w:sz w:val="19"/>
              </w:rPr>
              <w:t>Offline generative language model for financial analysis.</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Vector Database</w:t>
            </w:r>
          </w:p>
        </w:tc>
        <w:tc>
          <w:tcPr>
            <w:tcW w:type="dxa" w:w="3168"/>
            <w:shd w:fill="F8FAFC"/>
            <w:tcMar>
              <w:top w:w="100" w:type="dxa"/>
              <w:bottom w:w="100" w:type="dxa"/>
              <w:left w:w="160" w:type="dxa"/>
              <w:right w:w="160" w:type="dxa"/>
            </w:tcMar>
          </w:tcPr>
          <w:p>
            <w:pPr>
              <w:jc w:val="left"/>
            </w:pPr>
            <w:r>
              <w:rPr>
                <w:rFonts w:ascii="Calibri" w:hAnsi="Calibri"/>
                <w:color w:val="0F172A"/>
                <w:sz w:val="19"/>
              </w:rPr>
              <w:t>FAISS-cpu 1.7.4+ / sentence-transformers</w:t>
            </w:r>
          </w:p>
        </w:tc>
        <w:tc>
          <w:tcPr>
            <w:tcW w:type="dxa" w:w="3600"/>
            <w:shd w:fill="F8FAFC"/>
            <w:tcMar>
              <w:top w:w="100" w:type="dxa"/>
              <w:bottom w:w="100" w:type="dxa"/>
              <w:left w:w="160" w:type="dxa"/>
              <w:right w:w="160" w:type="dxa"/>
            </w:tcMar>
          </w:tcPr>
          <w:p>
            <w:pPr>
              <w:jc w:val="left"/>
            </w:pPr>
            <w:r>
              <w:rPr>
                <w:rFonts w:ascii="Calibri" w:hAnsi="Calibri"/>
                <w:color w:val="0F172A"/>
                <w:sz w:val="19"/>
              </w:rPr>
              <w:t>In-memory vector store for semantic document chunk search.</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OCR Processing Engine</w:t>
            </w:r>
          </w:p>
        </w:tc>
        <w:tc>
          <w:tcPr>
            <w:tcW w:type="dxa" w:w="3168"/>
            <w:shd w:fill="FFFFFF"/>
            <w:tcMar>
              <w:top w:w="100" w:type="dxa"/>
              <w:bottom w:w="100" w:type="dxa"/>
              <w:left w:w="160" w:type="dxa"/>
              <w:right w:w="160" w:type="dxa"/>
            </w:tcMar>
          </w:tcPr>
          <w:p>
            <w:pPr>
              <w:jc w:val="left"/>
            </w:pPr>
            <w:r>
              <w:rPr>
                <w:rFonts w:ascii="Calibri" w:hAnsi="Calibri"/>
                <w:color w:val="0F172A"/>
                <w:sz w:val="19"/>
              </w:rPr>
              <w:t>Tesseract-OCR v5.0.0+ / pdfplumber</w:t>
            </w:r>
          </w:p>
        </w:tc>
        <w:tc>
          <w:tcPr>
            <w:tcW w:type="dxa" w:w="3600"/>
            <w:shd w:fill="FFFFFF"/>
            <w:tcMar>
              <w:top w:w="100" w:type="dxa"/>
              <w:bottom w:w="100" w:type="dxa"/>
              <w:left w:w="160" w:type="dxa"/>
              <w:right w:w="160" w:type="dxa"/>
            </w:tcMar>
          </w:tcPr>
          <w:p>
            <w:pPr>
              <w:jc w:val="left"/>
            </w:pPr>
            <w:r>
              <w:rPr>
                <w:rFonts w:ascii="Calibri" w:hAnsi="Calibri"/>
                <w:color w:val="0F172A"/>
                <w:sz w:val="19"/>
              </w:rPr>
              <w:t>Optical character recognition engine for scanned PDFs/images.</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PDF &amp; Data Parsers</w:t>
            </w:r>
          </w:p>
        </w:tc>
        <w:tc>
          <w:tcPr>
            <w:tcW w:type="dxa" w:w="3168"/>
            <w:shd w:fill="F8FAFC"/>
            <w:tcMar>
              <w:top w:w="100" w:type="dxa"/>
              <w:bottom w:w="100" w:type="dxa"/>
              <w:left w:w="160" w:type="dxa"/>
              <w:right w:w="160" w:type="dxa"/>
            </w:tcMar>
          </w:tcPr>
          <w:p>
            <w:pPr>
              <w:jc w:val="left"/>
            </w:pPr>
            <w:r>
              <w:rPr>
                <w:rFonts w:ascii="Calibri" w:hAnsi="Calibri"/>
                <w:color w:val="0F172A"/>
                <w:sz w:val="19"/>
              </w:rPr>
              <w:t>PyPDF 3.10+, pandas 2.0+, openpyxl</w:t>
            </w:r>
          </w:p>
        </w:tc>
        <w:tc>
          <w:tcPr>
            <w:tcW w:type="dxa" w:w="3600"/>
            <w:shd w:fill="F8FAFC"/>
            <w:tcMar>
              <w:top w:w="100" w:type="dxa"/>
              <w:bottom w:w="100" w:type="dxa"/>
              <w:left w:w="160" w:type="dxa"/>
              <w:right w:w="160" w:type="dxa"/>
            </w:tcMar>
          </w:tcPr>
          <w:p>
            <w:pPr>
              <w:jc w:val="left"/>
            </w:pPr>
            <w:r>
              <w:rPr>
                <w:rFonts w:ascii="Calibri" w:hAnsi="Calibri"/>
                <w:color w:val="0F172A"/>
                <w:sz w:val="19"/>
              </w:rPr>
              <w:t>Parsing native PDFs, Microsoft Excel spreadsheets, and CSVs.</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Data Visualization</w:t>
            </w:r>
          </w:p>
        </w:tc>
        <w:tc>
          <w:tcPr>
            <w:tcW w:type="dxa" w:w="3168"/>
            <w:shd w:fill="FFFFFF"/>
            <w:tcMar>
              <w:top w:w="100" w:type="dxa"/>
              <w:bottom w:w="100" w:type="dxa"/>
              <w:left w:w="160" w:type="dxa"/>
              <w:right w:w="160" w:type="dxa"/>
            </w:tcMar>
          </w:tcPr>
          <w:p>
            <w:pPr>
              <w:jc w:val="left"/>
            </w:pPr>
            <w:r>
              <w:rPr>
                <w:rFonts w:ascii="Calibri" w:hAnsi="Calibri"/>
                <w:color w:val="0F172A"/>
                <w:sz w:val="19"/>
              </w:rPr>
              <w:t>Matplotlib 3.7+ / PySide6 QtCharts</w:t>
            </w:r>
          </w:p>
        </w:tc>
        <w:tc>
          <w:tcPr>
            <w:tcW w:type="dxa" w:w="3600"/>
            <w:shd w:fill="FFFFFF"/>
            <w:tcMar>
              <w:top w:w="100" w:type="dxa"/>
              <w:bottom w:w="100" w:type="dxa"/>
              <w:left w:w="160" w:type="dxa"/>
              <w:right w:w="160" w:type="dxa"/>
            </w:tcMar>
          </w:tcPr>
          <w:p>
            <w:pPr>
              <w:jc w:val="left"/>
            </w:pPr>
            <w:r>
              <w:rPr>
                <w:rFonts w:ascii="Calibri" w:hAnsi="Calibri"/>
                <w:color w:val="0F172A"/>
                <w:sz w:val="19"/>
              </w:rPr>
              <w:t>Generating visual risk heatmaps, charts, and PDF graphics.</w:t>
            </w:r>
          </w:p>
        </w:tc>
      </w:tr>
    </w:tbl>
    <w:p>
      <w:pPr>
        <w:keepNext/>
        <w:spacing w:before="280" w:after="120"/>
      </w:pPr>
      <w:r>
        <w:rPr>
          <w:rFonts w:ascii="Calibri" w:hAnsi="Calibri"/>
          <w:b/>
          <w:color w:val="2563EB"/>
          <w:sz w:val="28"/>
        </w:rPr>
        <w:t>2.3 Network &amp; Data Privacy Architecture</w:t>
      </w:r>
    </w:p>
    <w:p>
      <w:pPr>
        <w:pStyle w:val="ListBullet"/>
        <w:spacing w:before="0" w:after="80" w:line="276" w:lineRule="auto"/>
        <w:ind w:left="360"/>
      </w:pPr>
      <w:r>
        <w:rPr>
          <w:rFonts w:ascii="Calibri" w:hAnsi="Calibri"/>
          <w:b/>
          <w:color w:val="0F172A"/>
          <w:sz w:val="21"/>
        </w:rPr>
        <w:t xml:space="preserve">Zero Network Dependency: </w:t>
      </w:r>
      <w:r>
        <w:rPr>
          <w:rFonts w:ascii="Calibri" w:hAnsi="Calibri"/>
          <w:color w:val="334155"/>
          <w:sz w:val="21"/>
        </w:rPr>
        <w:t>FinAuditPro operates in a 100% air-gapped offline mode during all financial auditing and AI inference operations.</w:t>
      </w:r>
    </w:p>
    <w:p>
      <w:pPr>
        <w:pStyle w:val="ListBullet"/>
        <w:spacing w:before="0" w:after="80" w:line="276" w:lineRule="auto"/>
        <w:ind w:left="360"/>
      </w:pPr>
      <w:r>
        <w:rPr>
          <w:rFonts w:ascii="Calibri" w:hAnsi="Calibri"/>
          <w:b/>
          <w:color w:val="0F172A"/>
          <w:sz w:val="21"/>
        </w:rPr>
        <w:t xml:space="preserve">Data Isolation: </w:t>
      </w:r>
      <w:r>
        <w:rPr>
          <w:rFonts w:ascii="Calibri" w:hAnsi="Calibri"/>
          <w:color w:val="334155"/>
          <w:sz w:val="21"/>
        </w:rPr>
        <w:t>All financial records, PAN numbers, GSTIN identifiers, and client ledgers remain exclusively on the user's local disk drive.</w:t>
      </w:r>
    </w:p>
    <w:p>
      <w:pPr>
        <w:pStyle w:val="ListBullet"/>
        <w:spacing w:before="0" w:after="80" w:line="276" w:lineRule="auto"/>
        <w:ind w:left="360"/>
      </w:pPr>
      <w:r>
        <w:rPr>
          <w:rFonts w:ascii="Calibri" w:hAnsi="Calibri"/>
          <w:b/>
          <w:color w:val="0F172A"/>
          <w:sz w:val="21"/>
        </w:rPr>
        <w:t xml:space="preserve">Optional Internet Access: </w:t>
      </w:r>
      <w:r>
        <w:rPr>
          <w:rFonts w:ascii="Calibri" w:hAnsi="Calibri"/>
          <w:color w:val="334155"/>
          <w:sz w:val="21"/>
        </w:rPr>
        <w:t>Internet connectivity is required ONLY during initial installation to download Python dependencies and pull local Ollama LLM model weights.</w:t>
      </w:r>
    </w:p>
    <w:p>
      <w:r>
        <w:br w:type="page"/>
      </w:r>
    </w:p>
    <w:p>
      <w:pPr>
        <w:keepNext/>
        <w:spacing w:before="360" w:after="160"/>
      </w:pPr>
      <w:r>
        <w:rPr>
          <w:rFonts w:ascii="Calibri" w:hAnsi="Calibri"/>
          <w:b/>
          <w:color w:val="1E3A8A"/>
          <w:sz w:val="36"/>
        </w:rPr>
        <w:t>3. Data Flow Diagrams (DFD Level 0, Level 1, and Level 2)</w:t>
      </w:r>
    </w:p>
    <w:p>
      <w:pPr>
        <w:spacing w:before="0" w:after="120" w:line="276" w:lineRule="auto"/>
      </w:pPr>
      <w:r>
        <w:rPr>
          <w:rFonts w:ascii="Calibri" w:hAnsi="Calibri"/>
          <w:color w:val="334155"/>
          <w:sz w:val="22"/>
        </w:rPr>
        <w:t>Data Flow Diagrams illustrate how financial documents, user credentials, compliance rules, and AI findings move through the FinAuditPro system architecture, transforming raw input files into structured audit reports.</w:t>
      </w:r>
    </w:p>
    <w:p>
      <w:pPr>
        <w:keepNext/>
        <w:spacing w:before="280" w:after="120"/>
      </w:pPr>
      <w:r>
        <w:rPr>
          <w:rFonts w:ascii="Calibri" w:hAnsi="Calibri"/>
          <w:b/>
          <w:color w:val="2563EB"/>
          <w:sz w:val="28"/>
        </w:rPr>
        <w:t>3.1 DFD Level 0 (Context Diagram)</w:t>
      </w:r>
    </w:p>
    <w:p>
      <w:pPr>
        <w:spacing w:before="0" w:after="120" w:line="276" w:lineRule="auto"/>
      </w:pPr>
      <w:r>
        <w:rPr>
          <w:rFonts w:ascii="Calibri" w:hAnsi="Calibri"/>
          <w:color w:val="334155"/>
          <w:sz w:val="22"/>
        </w:rPr>
        <w:t>The Level 0 Context Diagram establishes the global system boundary of FinAuditPro, representing the central application as a single process (0.0 FinAuditPro System) interacting with four primary external entities.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40" w:type="dxa"/>
              <w:bottom w:w="140" w:type="dxa"/>
              <w:left w:w="180" w:type="dxa"/>
              <w:right w:w="180" w:type="dxa"/>
            </w:tcMar>
          </w:tcPr>
          <w:p>
            <w:pPr>
              <w:jc w:val="left"/>
            </w:pPr>
            <w:r>
              <w:rPr>
                <w:rFonts w:ascii="Calibri" w:hAnsi="Calibri"/>
                <w:b/>
                <w:color w:val="FFFFFF"/>
                <w:sz w:val="20"/>
              </w:rPr>
              <w:t>External Entity</w:t>
            </w:r>
          </w:p>
        </w:tc>
        <w:tc>
          <w:tcPr>
            <w:tcW w:type="dxa" w:w="3312"/>
            <w:shd w:fill="1E3A8A"/>
            <w:tcMar>
              <w:top w:w="140" w:type="dxa"/>
              <w:bottom w:w="140" w:type="dxa"/>
              <w:left w:w="180" w:type="dxa"/>
              <w:right w:w="180" w:type="dxa"/>
            </w:tcMar>
          </w:tcPr>
          <w:p>
            <w:pPr>
              <w:jc w:val="left"/>
            </w:pPr>
            <w:r>
              <w:rPr>
                <w:rFonts w:ascii="Calibri" w:hAnsi="Calibri"/>
                <w:b/>
                <w:color w:val="FFFFFF"/>
                <w:sz w:val="20"/>
              </w:rPr>
              <w:t>Input Data Flows to FinAuditPro</w:t>
            </w:r>
          </w:p>
        </w:tc>
        <w:tc>
          <w:tcPr>
            <w:tcW w:type="dxa" w:w="3456"/>
            <w:shd w:fill="1E3A8A"/>
            <w:tcMar>
              <w:top w:w="140" w:type="dxa"/>
              <w:bottom w:w="140" w:type="dxa"/>
              <w:left w:w="180" w:type="dxa"/>
              <w:right w:w="180" w:type="dxa"/>
            </w:tcMar>
          </w:tcPr>
          <w:p>
            <w:pPr>
              <w:jc w:val="left"/>
            </w:pPr>
            <w:r>
              <w:rPr>
                <w:rFonts w:ascii="Calibri" w:hAnsi="Calibri"/>
                <w:b/>
                <w:color w:val="FFFFFF"/>
                <w:sz w:val="20"/>
              </w:rPr>
              <w:t>Output Data Flows from FinAuditPro</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Chartered Accountant / Auditor</w:t>
            </w:r>
          </w:p>
        </w:tc>
        <w:tc>
          <w:tcPr>
            <w:tcW w:type="dxa" w:w="3312"/>
            <w:shd w:fill="FFFFFF"/>
            <w:tcMar>
              <w:top w:w="100" w:type="dxa"/>
              <w:bottom w:w="100" w:type="dxa"/>
              <w:left w:w="160" w:type="dxa"/>
              <w:right w:w="160" w:type="dxa"/>
            </w:tcMar>
          </w:tcPr>
          <w:p>
            <w:pPr>
              <w:jc w:val="left"/>
            </w:pPr>
            <w:r>
              <w:rPr>
                <w:rFonts w:ascii="Calibri" w:hAnsi="Calibri"/>
                <w:color w:val="0F172A"/>
                <w:sz w:val="19"/>
              </w:rPr>
              <w:t>User Credentials, Client Profiles, Audit Rules, Document Uploads, Search Queries</w:t>
            </w:r>
          </w:p>
        </w:tc>
        <w:tc>
          <w:tcPr>
            <w:tcW w:type="dxa" w:w="3456"/>
            <w:shd w:fill="FFFFFF"/>
            <w:tcMar>
              <w:top w:w="100" w:type="dxa"/>
              <w:bottom w:w="100" w:type="dxa"/>
              <w:left w:w="160" w:type="dxa"/>
              <w:right w:w="160" w:type="dxa"/>
            </w:tcMar>
          </w:tcPr>
          <w:p>
            <w:pPr>
              <w:jc w:val="left"/>
            </w:pPr>
            <w:r>
              <w:rPr>
                <w:rFonts w:ascii="Calibri" w:hAnsi="Calibri"/>
                <w:color w:val="0F172A"/>
                <w:sz w:val="19"/>
              </w:rPr>
              <w:t>Interactive UI Dashboards, Risk Heatmaps, GST Mismatch Reports, Working Papers, PDF Reports</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Local File System</w:t>
            </w:r>
          </w:p>
        </w:tc>
        <w:tc>
          <w:tcPr>
            <w:tcW w:type="dxa" w:w="3312"/>
            <w:shd w:fill="F8FAFC"/>
            <w:tcMar>
              <w:top w:w="100" w:type="dxa"/>
              <w:bottom w:w="100" w:type="dxa"/>
              <w:left w:w="160" w:type="dxa"/>
              <w:right w:w="160" w:type="dxa"/>
            </w:tcMar>
          </w:tcPr>
          <w:p>
            <w:pPr>
              <w:jc w:val="left"/>
            </w:pPr>
            <w:r>
              <w:rPr>
                <w:rFonts w:ascii="Calibri" w:hAnsi="Calibri"/>
                <w:color w:val="0F172A"/>
                <w:sz w:val="19"/>
              </w:rPr>
              <w:t>Raw Invoices (PDF/Image), Ledger Spreadsheets (.xlsx), Bank Statements (.csv)</w:t>
            </w:r>
          </w:p>
        </w:tc>
        <w:tc>
          <w:tcPr>
            <w:tcW w:type="dxa" w:w="3456"/>
            <w:shd w:fill="F8FAFC"/>
            <w:tcMar>
              <w:top w:w="100" w:type="dxa"/>
              <w:bottom w:w="100" w:type="dxa"/>
              <w:left w:w="160" w:type="dxa"/>
              <w:right w:w="160" w:type="dxa"/>
            </w:tcMar>
          </w:tcPr>
          <w:p>
            <w:pPr>
              <w:jc w:val="left"/>
            </w:pPr>
            <w:r>
              <w:rPr>
                <w:rFonts w:ascii="Calibri" w:hAnsi="Calibri"/>
                <w:color w:val="0F172A"/>
                <w:sz w:val="19"/>
              </w:rPr>
              <w:t>Encrypted File Copies, Output PDF Reports, Exported Excel Reconciliation Sheets</w:t>
            </w:r>
          </w:p>
        </w:tc>
      </w:tr>
      <w:tr>
        <w:tc>
          <w:tcPr>
            <w:tcW w:type="dxa" w:w="2592"/>
            <w:shd w:fill="FFFFFF"/>
            <w:tcMar>
              <w:top w:w="100" w:type="dxa"/>
              <w:bottom w:w="100" w:type="dxa"/>
              <w:left w:w="160" w:type="dxa"/>
              <w:right w:w="160" w:type="dxa"/>
            </w:tcMar>
          </w:tcPr>
          <w:p>
            <w:pPr>
              <w:jc w:val="left"/>
            </w:pPr>
            <w:r>
              <w:rPr>
                <w:rFonts w:ascii="Calibri" w:hAnsi="Calibri"/>
                <w:color w:val="0F172A"/>
                <w:sz w:val="19"/>
              </w:rPr>
              <w:t>Ollama Local AI Engine</w:t>
            </w:r>
          </w:p>
        </w:tc>
        <w:tc>
          <w:tcPr>
            <w:tcW w:type="dxa" w:w="3312"/>
            <w:shd w:fill="FFFFFF"/>
            <w:tcMar>
              <w:top w:w="100" w:type="dxa"/>
              <w:bottom w:w="100" w:type="dxa"/>
              <w:left w:w="160" w:type="dxa"/>
              <w:right w:w="160" w:type="dxa"/>
            </w:tcMar>
          </w:tcPr>
          <w:p>
            <w:pPr>
              <w:jc w:val="left"/>
            </w:pPr>
            <w:r>
              <w:rPr>
                <w:rFonts w:ascii="Calibri" w:hAnsi="Calibri"/>
                <w:color w:val="0F172A"/>
                <w:sz w:val="19"/>
              </w:rPr>
              <w:t>JSON Model Responses, Audit Evidence Summaries, SA Rule Classifications</w:t>
            </w:r>
          </w:p>
        </w:tc>
        <w:tc>
          <w:tcPr>
            <w:tcW w:type="dxa" w:w="3456"/>
            <w:shd w:fill="FFFFFF"/>
            <w:tcMar>
              <w:top w:w="100" w:type="dxa"/>
              <w:bottom w:w="100" w:type="dxa"/>
              <w:left w:w="160" w:type="dxa"/>
              <w:right w:w="160" w:type="dxa"/>
            </w:tcMar>
          </w:tcPr>
          <w:p>
            <w:pPr>
              <w:jc w:val="left"/>
            </w:pPr>
            <w:r>
              <w:rPr>
                <w:rFonts w:ascii="Calibri" w:hAnsi="Calibri"/>
                <w:color w:val="0F172A"/>
                <w:sz w:val="19"/>
              </w:rPr>
              <w:t>Vector Context Chunks, System Prompts, Structured JSON Output Schemas</w:t>
            </w:r>
          </w:p>
        </w:tc>
      </w:tr>
      <w:tr>
        <w:tc>
          <w:tcPr>
            <w:tcW w:type="dxa" w:w="2592"/>
            <w:shd w:fill="F8FAFC"/>
            <w:tcMar>
              <w:top w:w="100" w:type="dxa"/>
              <w:bottom w:w="100" w:type="dxa"/>
              <w:left w:w="160" w:type="dxa"/>
              <w:right w:w="160" w:type="dxa"/>
            </w:tcMar>
          </w:tcPr>
          <w:p>
            <w:pPr>
              <w:jc w:val="left"/>
            </w:pPr>
            <w:r>
              <w:rPr>
                <w:rFonts w:ascii="Calibri" w:hAnsi="Calibri"/>
                <w:color w:val="0F172A"/>
                <w:sz w:val="19"/>
              </w:rPr>
              <w:t>System Administrator</w:t>
            </w:r>
          </w:p>
        </w:tc>
        <w:tc>
          <w:tcPr>
            <w:tcW w:type="dxa" w:w="3312"/>
            <w:shd w:fill="F8FAFC"/>
            <w:tcMar>
              <w:top w:w="100" w:type="dxa"/>
              <w:bottom w:w="100" w:type="dxa"/>
              <w:left w:w="160" w:type="dxa"/>
              <w:right w:w="160" w:type="dxa"/>
            </w:tcMar>
          </w:tcPr>
          <w:p>
            <w:pPr>
              <w:jc w:val="left"/>
            </w:pPr>
            <w:r>
              <w:rPr>
                <w:rFonts w:ascii="Calibri" w:hAnsi="Calibri"/>
                <w:color w:val="0F172A"/>
                <w:sz w:val="19"/>
              </w:rPr>
              <w:t>App Configuration Settings, Threshold Definitions, Local LLM Selection</w:t>
            </w:r>
          </w:p>
        </w:tc>
        <w:tc>
          <w:tcPr>
            <w:tcW w:type="dxa" w:w="3456"/>
            <w:shd w:fill="F8FAFC"/>
            <w:tcMar>
              <w:top w:w="100" w:type="dxa"/>
              <w:bottom w:w="100" w:type="dxa"/>
              <w:left w:w="160" w:type="dxa"/>
              <w:right w:w="160" w:type="dxa"/>
            </w:tcMar>
          </w:tcPr>
          <w:p>
            <w:pPr>
              <w:jc w:val="left"/>
            </w:pPr>
            <w:r>
              <w:rPr>
                <w:rFonts w:ascii="Calibri" w:hAnsi="Calibri"/>
                <w:color w:val="0F172A"/>
                <w:sz w:val="19"/>
              </w:rPr>
              <w:t>Tamper-Proof Audit Logs, System Diagnostics, Engine Performance Metrics</w:t>
            </w:r>
          </w:p>
        </w:tc>
      </w:tr>
    </w:tbl>
    <w:p>
      <w:pPr>
        <w:keepNext/>
        <w:spacing w:before="280" w:after="120"/>
      </w:pPr>
      <w:r>
        <w:rPr>
          <w:rFonts w:ascii="Calibri" w:hAnsi="Calibri"/>
          <w:b/>
          <w:color w:val="2563EB"/>
          <w:sz w:val="28"/>
        </w:rPr>
        <w:t>3.2 DFD Level 1 (System Decomposition Diagram)</w:t>
      </w:r>
    </w:p>
    <w:p>
      <w:pPr>
        <w:spacing w:before="0" w:after="120" w:line="276" w:lineRule="auto"/>
      </w:pPr>
      <w:r>
        <w:rPr>
          <w:rFonts w:ascii="Calibri" w:hAnsi="Calibri"/>
          <w:color w:val="334155"/>
          <w:sz w:val="22"/>
        </w:rPr>
        <w:t>The Level 1 DFD decomposes the central system into eight core operational sub-processes and six persistent local data stores.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left"/>
            </w:pPr>
            <w:r>
              <w:rPr>
                <w:rFonts w:ascii="Calibri" w:hAnsi="Calibri"/>
                <w:b/>
                <w:color w:val="FFFFFF"/>
                <w:sz w:val="20"/>
              </w:rPr>
              <w:t>Process ID &amp; Name</w:t>
            </w:r>
          </w:p>
        </w:tc>
        <w:tc>
          <w:tcPr>
            <w:tcW w:type="dxa" w:w="2016"/>
            <w:shd w:fill="1E3A8A"/>
            <w:tcMar>
              <w:top w:w="140" w:type="dxa"/>
              <w:bottom w:w="140" w:type="dxa"/>
              <w:left w:w="180" w:type="dxa"/>
              <w:right w:w="180" w:type="dxa"/>
            </w:tcMar>
          </w:tcPr>
          <w:p>
            <w:pPr>
              <w:jc w:val="left"/>
            </w:pPr>
            <w:r>
              <w:rPr>
                <w:rFonts w:ascii="Calibri" w:hAnsi="Calibri"/>
                <w:b/>
                <w:color w:val="FFFFFF"/>
                <w:sz w:val="20"/>
              </w:rPr>
              <w:t>Subsystem Function</w:t>
            </w:r>
          </w:p>
        </w:tc>
        <w:tc>
          <w:tcPr>
            <w:tcW w:type="dxa" w:w="1728"/>
            <w:shd w:fill="1E3A8A"/>
            <w:tcMar>
              <w:top w:w="140" w:type="dxa"/>
              <w:bottom w:w="140" w:type="dxa"/>
              <w:left w:w="180" w:type="dxa"/>
              <w:right w:w="180" w:type="dxa"/>
            </w:tcMar>
          </w:tcPr>
          <w:p>
            <w:pPr>
              <w:jc w:val="left"/>
            </w:pPr>
            <w:r>
              <w:rPr>
                <w:rFonts w:ascii="Calibri" w:hAnsi="Calibri"/>
                <w:b/>
                <w:color w:val="FFFFFF"/>
                <w:sz w:val="20"/>
              </w:rPr>
              <w:t>Inputs Received</w:t>
            </w:r>
          </w:p>
        </w:tc>
        <w:tc>
          <w:tcPr>
            <w:tcW w:type="dxa" w:w="1872"/>
            <w:shd w:fill="1E3A8A"/>
            <w:tcMar>
              <w:top w:w="140" w:type="dxa"/>
              <w:bottom w:w="140" w:type="dxa"/>
              <w:left w:w="180" w:type="dxa"/>
              <w:right w:w="180" w:type="dxa"/>
            </w:tcMar>
          </w:tcPr>
          <w:p>
            <w:pPr>
              <w:jc w:val="left"/>
            </w:pPr>
            <w:r>
              <w:rPr>
                <w:rFonts w:ascii="Calibri" w:hAnsi="Calibri"/>
                <w:b/>
                <w:color w:val="FFFFFF"/>
                <w:sz w:val="20"/>
              </w:rPr>
              <w:t>Outputs Generated</w:t>
            </w:r>
          </w:p>
        </w:tc>
        <w:tc>
          <w:tcPr>
            <w:tcW w:type="dxa" w:w="1872"/>
            <w:shd w:fill="1E3A8A"/>
            <w:tcMar>
              <w:top w:w="140" w:type="dxa"/>
              <w:bottom w:w="140" w:type="dxa"/>
              <w:left w:w="180" w:type="dxa"/>
              <w:right w:w="180" w:type="dxa"/>
            </w:tcMar>
          </w:tcPr>
          <w:p>
            <w:pPr>
              <w:jc w:val="left"/>
            </w:pPr>
            <w:r>
              <w:rPr>
                <w:rFonts w:ascii="Calibri" w:hAnsi="Calibri"/>
                <w:b/>
                <w:color w:val="FFFFFF"/>
                <w:sz w:val="20"/>
              </w:rPr>
              <w:t>Data Store Connected</w:t>
            </w:r>
          </w:p>
        </w:tc>
      </w:tr>
      <w:tr>
        <w:tc>
          <w:tcPr>
            <w:tcW w:type="dxa" w:w="1872"/>
            <w:shd w:fill="FFFFFF"/>
            <w:tcMar>
              <w:top w:w="100" w:type="dxa"/>
              <w:bottom w:w="100" w:type="dxa"/>
              <w:left w:w="160" w:type="dxa"/>
              <w:right w:w="160" w:type="dxa"/>
            </w:tcMar>
          </w:tcPr>
          <w:p>
            <w:pPr>
              <w:jc w:val="left"/>
            </w:pPr>
            <w:r>
              <w:rPr>
                <w:rFonts w:ascii="Calibri" w:hAnsi="Calibri"/>
                <w:color w:val="0F172A"/>
                <w:sz w:val="19"/>
              </w:rPr>
              <w:t>1.0 Auth &amp; Session</w:t>
            </w:r>
          </w:p>
        </w:tc>
        <w:tc>
          <w:tcPr>
            <w:tcW w:type="dxa" w:w="2016"/>
            <w:shd w:fill="FFFFFF"/>
            <w:tcMar>
              <w:top w:w="100" w:type="dxa"/>
              <w:bottom w:w="100" w:type="dxa"/>
              <w:left w:w="160" w:type="dxa"/>
              <w:right w:w="160" w:type="dxa"/>
            </w:tcMar>
          </w:tcPr>
          <w:p>
            <w:pPr>
              <w:jc w:val="left"/>
            </w:pPr>
            <w:r>
              <w:rPr>
                <w:rFonts w:ascii="Calibri" w:hAnsi="Calibri"/>
                <w:color w:val="0F172A"/>
                <w:sz w:val="19"/>
              </w:rPr>
              <w:t>User authentication &amp; security</w:t>
            </w:r>
          </w:p>
        </w:tc>
        <w:tc>
          <w:tcPr>
            <w:tcW w:type="dxa" w:w="1728"/>
            <w:shd w:fill="FFFFFF"/>
            <w:tcMar>
              <w:top w:w="100" w:type="dxa"/>
              <w:bottom w:w="100" w:type="dxa"/>
              <w:left w:w="160" w:type="dxa"/>
              <w:right w:w="160" w:type="dxa"/>
            </w:tcMar>
          </w:tcPr>
          <w:p>
            <w:pPr>
              <w:jc w:val="left"/>
            </w:pPr>
            <w:r>
              <w:rPr>
                <w:rFonts w:ascii="Calibri" w:hAnsi="Calibri"/>
                <w:color w:val="0F172A"/>
                <w:sz w:val="19"/>
              </w:rPr>
              <w:t>Login credentials</w:t>
            </w:r>
          </w:p>
        </w:tc>
        <w:tc>
          <w:tcPr>
            <w:tcW w:type="dxa" w:w="1872"/>
            <w:shd w:fill="FFFFFF"/>
            <w:tcMar>
              <w:top w:w="100" w:type="dxa"/>
              <w:bottom w:w="100" w:type="dxa"/>
              <w:left w:w="160" w:type="dxa"/>
              <w:right w:w="160" w:type="dxa"/>
            </w:tcMar>
          </w:tcPr>
          <w:p>
            <w:pPr>
              <w:jc w:val="left"/>
            </w:pPr>
            <w:r>
              <w:rPr>
                <w:rFonts w:ascii="Calibri" w:hAnsi="Calibri"/>
                <w:color w:val="0F172A"/>
                <w:sz w:val="19"/>
              </w:rPr>
              <w:t>Session Token, User Context</w:t>
            </w:r>
          </w:p>
        </w:tc>
        <w:tc>
          <w:tcPr>
            <w:tcW w:type="dxa" w:w="1872"/>
            <w:shd w:fill="FFFFFF"/>
            <w:tcMar>
              <w:top w:w="100" w:type="dxa"/>
              <w:bottom w:w="100" w:type="dxa"/>
              <w:left w:w="160" w:type="dxa"/>
              <w:right w:w="160" w:type="dxa"/>
            </w:tcMar>
          </w:tcPr>
          <w:p>
            <w:pPr>
              <w:jc w:val="left"/>
            </w:pPr>
            <w:r>
              <w:rPr>
                <w:rFonts w:ascii="Calibri" w:hAnsi="Calibri"/>
                <w:color w:val="0F172A"/>
                <w:sz w:val="19"/>
              </w:rPr>
              <w:t>DS1: Users</w:t>
            </w:r>
          </w:p>
        </w:tc>
      </w:tr>
      <w:tr>
        <w:tc>
          <w:tcPr>
            <w:tcW w:type="dxa" w:w="1872"/>
            <w:shd w:fill="F8FAFC"/>
            <w:tcMar>
              <w:top w:w="100" w:type="dxa"/>
              <w:bottom w:w="100" w:type="dxa"/>
              <w:left w:w="160" w:type="dxa"/>
              <w:right w:w="160" w:type="dxa"/>
            </w:tcMar>
          </w:tcPr>
          <w:p>
            <w:pPr>
              <w:jc w:val="left"/>
            </w:pPr>
            <w:r>
              <w:rPr>
                <w:rFonts w:ascii="Calibri" w:hAnsi="Calibri"/>
                <w:color w:val="0F172A"/>
                <w:sz w:val="19"/>
              </w:rPr>
              <w:t>2.0 Client &amp; Engagement</w:t>
            </w:r>
          </w:p>
        </w:tc>
        <w:tc>
          <w:tcPr>
            <w:tcW w:type="dxa" w:w="2016"/>
            <w:shd w:fill="F8FAFC"/>
            <w:tcMar>
              <w:top w:w="100" w:type="dxa"/>
              <w:bottom w:w="100" w:type="dxa"/>
              <w:left w:w="160" w:type="dxa"/>
              <w:right w:w="160" w:type="dxa"/>
            </w:tcMar>
          </w:tcPr>
          <w:p>
            <w:pPr>
              <w:jc w:val="left"/>
            </w:pPr>
            <w:r>
              <w:rPr>
                <w:rFonts w:ascii="Calibri" w:hAnsi="Calibri"/>
                <w:color w:val="0F172A"/>
                <w:sz w:val="19"/>
              </w:rPr>
              <w:t>Manage clients &amp; 16-stage workflow</w:t>
            </w:r>
          </w:p>
        </w:tc>
        <w:tc>
          <w:tcPr>
            <w:tcW w:type="dxa" w:w="1728"/>
            <w:shd w:fill="F8FAFC"/>
            <w:tcMar>
              <w:top w:w="100" w:type="dxa"/>
              <w:bottom w:w="100" w:type="dxa"/>
              <w:left w:w="160" w:type="dxa"/>
              <w:right w:w="160" w:type="dxa"/>
            </w:tcMar>
          </w:tcPr>
          <w:p>
            <w:pPr>
              <w:jc w:val="left"/>
            </w:pPr>
            <w:r>
              <w:rPr>
                <w:rFonts w:ascii="Calibri" w:hAnsi="Calibri"/>
                <w:color w:val="0F172A"/>
                <w:sz w:val="19"/>
              </w:rPr>
              <w:t>Client details, Engagement params</w:t>
            </w:r>
          </w:p>
        </w:tc>
        <w:tc>
          <w:tcPr>
            <w:tcW w:type="dxa" w:w="1872"/>
            <w:shd w:fill="F8FAFC"/>
            <w:tcMar>
              <w:top w:w="100" w:type="dxa"/>
              <w:bottom w:w="100" w:type="dxa"/>
              <w:left w:w="160" w:type="dxa"/>
              <w:right w:w="160" w:type="dxa"/>
            </w:tcMar>
          </w:tcPr>
          <w:p>
            <w:pPr>
              <w:jc w:val="left"/>
            </w:pPr>
            <w:r>
              <w:rPr>
                <w:rFonts w:ascii="Calibri" w:hAnsi="Calibri"/>
                <w:color w:val="0F172A"/>
                <w:sz w:val="19"/>
              </w:rPr>
              <w:t>Active Engagement Profile</w:t>
            </w:r>
          </w:p>
        </w:tc>
        <w:tc>
          <w:tcPr>
            <w:tcW w:type="dxa" w:w="1872"/>
            <w:shd w:fill="F8FAFC"/>
            <w:tcMar>
              <w:top w:w="100" w:type="dxa"/>
              <w:bottom w:w="100" w:type="dxa"/>
              <w:left w:w="160" w:type="dxa"/>
              <w:right w:w="160" w:type="dxa"/>
            </w:tcMar>
          </w:tcPr>
          <w:p>
            <w:pPr>
              <w:jc w:val="left"/>
            </w:pPr>
            <w:r>
              <w:rPr>
                <w:rFonts w:ascii="Calibri" w:hAnsi="Calibri"/>
                <w:color w:val="0F172A"/>
                <w:sz w:val="19"/>
              </w:rPr>
              <w:t>DS2: Clients &amp; Engagements</w:t>
            </w:r>
          </w:p>
        </w:tc>
      </w:tr>
      <w:tr>
        <w:tc>
          <w:tcPr>
            <w:tcW w:type="dxa" w:w="1872"/>
            <w:shd w:fill="FFFFFF"/>
            <w:tcMar>
              <w:top w:w="100" w:type="dxa"/>
              <w:bottom w:w="100" w:type="dxa"/>
              <w:left w:w="160" w:type="dxa"/>
              <w:right w:w="160" w:type="dxa"/>
            </w:tcMar>
          </w:tcPr>
          <w:p>
            <w:pPr>
              <w:jc w:val="left"/>
            </w:pPr>
            <w:r>
              <w:rPr>
                <w:rFonts w:ascii="Calibri" w:hAnsi="Calibri"/>
                <w:color w:val="0F172A"/>
                <w:sz w:val="19"/>
              </w:rPr>
              <w:t>3.0 Document Ingestion &amp; OCR</w:t>
            </w:r>
          </w:p>
        </w:tc>
        <w:tc>
          <w:tcPr>
            <w:tcW w:type="dxa" w:w="2016"/>
            <w:shd w:fill="FFFFFF"/>
            <w:tcMar>
              <w:top w:w="100" w:type="dxa"/>
              <w:bottom w:w="100" w:type="dxa"/>
              <w:left w:w="160" w:type="dxa"/>
              <w:right w:w="160" w:type="dxa"/>
            </w:tcMar>
          </w:tcPr>
          <w:p>
            <w:pPr>
              <w:jc w:val="left"/>
            </w:pPr>
            <w:r>
              <w:rPr>
                <w:rFonts w:ascii="Calibri" w:hAnsi="Calibri"/>
                <w:color w:val="0F172A"/>
                <w:sz w:val="19"/>
              </w:rPr>
              <w:t>Parse PDFs, Excel, CSV, execute OCR</w:t>
            </w:r>
          </w:p>
        </w:tc>
        <w:tc>
          <w:tcPr>
            <w:tcW w:type="dxa" w:w="1728"/>
            <w:shd w:fill="FFFFFF"/>
            <w:tcMar>
              <w:top w:w="100" w:type="dxa"/>
              <w:bottom w:w="100" w:type="dxa"/>
              <w:left w:w="160" w:type="dxa"/>
              <w:right w:w="160" w:type="dxa"/>
            </w:tcMar>
          </w:tcPr>
          <w:p>
            <w:pPr>
              <w:jc w:val="left"/>
            </w:pPr>
            <w:r>
              <w:rPr>
                <w:rFonts w:ascii="Calibri" w:hAnsi="Calibri"/>
                <w:color w:val="0F172A"/>
                <w:sz w:val="19"/>
              </w:rPr>
              <w:t>Raw financial files</w:t>
            </w:r>
          </w:p>
        </w:tc>
        <w:tc>
          <w:tcPr>
            <w:tcW w:type="dxa" w:w="1872"/>
            <w:shd w:fill="FFFFFF"/>
            <w:tcMar>
              <w:top w:w="100" w:type="dxa"/>
              <w:bottom w:w="100" w:type="dxa"/>
              <w:left w:w="160" w:type="dxa"/>
              <w:right w:w="160" w:type="dxa"/>
            </w:tcMar>
          </w:tcPr>
          <w:p>
            <w:pPr>
              <w:jc w:val="left"/>
            </w:pPr>
            <w:r>
              <w:rPr>
                <w:rFonts w:ascii="Calibri" w:hAnsi="Calibri"/>
                <w:color w:val="0F172A"/>
                <w:sz w:val="19"/>
              </w:rPr>
              <w:t>Extracted Text &amp; Bounding Boxes</w:t>
            </w:r>
          </w:p>
        </w:tc>
        <w:tc>
          <w:tcPr>
            <w:tcW w:type="dxa" w:w="1872"/>
            <w:shd w:fill="FFFFFF"/>
            <w:tcMar>
              <w:top w:w="100" w:type="dxa"/>
              <w:bottom w:w="100" w:type="dxa"/>
              <w:left w:w="160" w:type="dxa"/>
              <w:right w:w="160" w:type="dxa"/>
            </w:tcMar>
          </w:tcPr>
          <w:p>
            <w:pPr>
              <w:jc w:val="left"/>
            </w:pPr>
            <w:r>
              <w:rPr>
                <w:rFonts w:ascii="Calibri" w:hAnsi="Calibri"/>
                <w:color w:val="0F172A"/>
                <w:sz w:val="19"/>
              </w:rPr>
              <w:t>DS3: Documents &amp; Vector Index</w:t>
            </w:r>
          </w:p>
        </w:tc>
      </w:tr>
      <w:tr>
        <w:tc>
          <w:tcPr>
            <w:tcW w:type="dxa" w:w="1872"/>
            <w:shd w:fill="F8FAFC"/>
            <w:tcMar>
              <w:top w:w="100" w:type="dxa"/>
              <w:bottom w:w="100" w:type="dxa"/>
              <w:left w:w="160" w:type="dxa"/>
              <w:right w:w="160" w:type="dxa"/>
            </w:tcMar>
          </w:tcPr>
          <w:p>
            <w:pPr>
              <w:jc w:val="left"/>
            </w:pPr>
            <w:r>
              <w:rPr>
                <w:rFonts w:ascii="Calibri" w:hAnsi="Calibri"/>
                <w:color w:val="0F172A"/>
                <w:sz w:val="19"/>
              </w:rPr>
              <w:t>4.0 Audit Rule Engine</w:t>
            </w:r>
          </w:p>
        </w:tc>
        <w:tc>
          <w:tcPr>
            <w:tcW w:type="dxa" w:w="2016"/>
            <w:shd w:fill="F8FAFC"/>
            <w:tcMar>
              <w:top w:w="100" w:type="dxa"/>
              <w:bottom w:w="100" w:type="dxa"/>
              <w:left w:w="160" w:type="dxa"/>
              <w:right w:w="160" w:type="dxa"/>
            </w:tcMar>
          </w:tcPr>
          <w:p>
            <w:pPr>
              <w:jc w:val="left"/>
            </w:pPr>
            <w:r>
              <w:rPr>
                <w:rFonts w:ascii="Calibri" w:hAnsi="Calibri"/>
                <w:color w:val="0F172A"/>
                <w:sz w:val="19"/>
              </w:rPr>
              <w:t>Execute 100+ rules &amp; Benford test</w:t>
            </w:r>
          </w:p>
        </w:tc>
        <w:tc>
          <w:tcPr>
            <w:tcW w:type="dxa" w:w="1728"/>
            <w:shd w:fill="F8FAFC"/>
            <w:tcMar>
              <w:top w:w="100" w:type="dxa"/>
              <w:bottom w:w="100" w:type="dxa"/>
              <w:left w:w="160" w:type="dxa"/>
              <w:right w:w="160" w:type="dxa"/>
            </w:tcMar>
          </w:tcPr>
          <w:p>
            <w:pPr>
              <w:jc w:val="left"/>
            </w:pPr>
            <w:r>
              <w:rPr>
                <w:rFonts w:ascii="Calibri" w:hAnsi="Calibri"/>
                <w:color w:val="0F172A"/>
                <w:sz w:val="19"/>
              </w:rPr>
              <w:t>Parsed Ledgers &amp; Invoices</w:t>
            </w:r>
          </w:p>
        </w:tc>
        <w:tc>
          <w:tcPr>
            <w:tcW w:type="dxa" w:w="1872"/>
            <w:shd w:fill="F8FAFC"/>
            <w:tcMar>
              <w:top w:w="100" w:type="dxa"/>
              <w:bottom w:w="100" w:type="dxa"/>
              <w:left w:w="160" w:type="dxa"/>
              <w:right w:w="160" w:type="dxa"/>
            </w:tcMar>
          </w:tcPr>
          <w:p>
            <w:pPr>
              <w:jc w:val="left"/>
            </w:pPr>
            <w:r>
              <w:rPr>
                <w:rFonts w:ascii="Calibri" w:hAnsi="Calibri"/>
                <w:color w:val="0F172A"/>
                <w:sz w:val="19"/>
              </w:rPr>
              <w:t>Rule Violations &amp; Benford Score</w:t>
            </w:r>
          </w:p>
        </w:tc>
        <w:tc>
          <w:tcPr>
            <w:tcW w:type="dxa" w:w="1872"/>
            <w:shd w:fill="F8FAFC"/>
            <w:tcMar>
              <w:top w:w="100" w:type="dxa"/>
              <w:bottom w:w="100" w:type="dxa"/>
              <w:left w:w="160" w:type="dxa"/>
              <w:right w:w="160" w:type="dxa"/>
            </w:tcMar>
          </w:tcPr>
          <w:p>
            <w:pPr>
              <w:jc w:val="left"/>
            </w:pPr>
            <w:r>
              <w:rPr>
                <w:rFonts w:ascii="Calibri" w:hAnsi="Calibri"/>
                <w:color w:val="0F172A"/>
                <w:sz w:val="19"/>
              </w:rPr>
              <w:t>DS4: Audit Rules &amp; DS5: Risks</w:t>
            </w:r>
          </w:p>
        </w:tc>
      </w:tr>
      <w:tr>
        <w:tc>
          <w:tcPr>
            <w:tcW w:type="dxa" w:w="1872"/>
            <w:shd w:fill="FFFFFF"/>
            <w:tcMar>
              <w:top w:w="100" w:type="dxa"/>
              <w:bottom w:w="100" w:type="dxa"/>
              <w:left w:w="160" w:type="dxa"/>
              <w:right w:w="160" w:type="dxa"/>
            </w:tcMar>
          </w:tcPr>
          <w:p>
            <w:pPr>
              <w:jc w:val="left"/>
            </w:pPr>
            <w:r>
              <w:rPr>
                <w:rFonts w:ascii="Calibri" w:hAnsi="Calibri"/>
                <w:color w:val="0F172A"/>
                <w:sz w:val="19"/>
              </w:rPr>
              <w:t>5.0 Offline AI Copilot</w:t>
            </w:r>
          </w:p>
        </w:tc>
        <w:tc>
          <w:tcPr>
            <w:tcW w:type="dxa" w:w="2016"/>
            <w:shd w:fill="FFFFFF"/>
            <w:tcMar>
              <w:top w:w="100" w:type="dxa"/>
              <w:bottom w:w="100" w:type="dxa"/>
              <w:left w:w="160" w:type="dxa"/>
              <w:right w:w="160" w:type="dxa"/>
            </w:tcMar>
          </w:tcPr>
          <w:p>
            <w:pPr>
              <w:jc w:val="left"/>
            </w:pPr>
            <w:r>
              <w:rPr>
                <w:rFonts w:ascii="Calibri" w:hAnsi="Calibri"/>
                <w:color w:val="0F172A"/>
                <w:sz w:val="19"/>
              </w:rPr>
              <w:t>FAISS RAG retrieval &amp; LLM analysis</w:t>
            </w:r>
          </w:p>
        </w:tc>
        <w:tc>
          <w:tcPr>
            <w:tcW w:type="dxa" w:w="1728"/>
            <w:shd w:fill="FFFFFF"/>
            <w:tcMar>
              <w:top w:w="100" w:type="dxa"/>
              <w:bottom w:w="100" w:type="dxa"/>
              <w:left w:w="160" w:type="dxa"/>
              <w:right w:w="160" w:type="dxa"/>
            </w:tcMar>
          </w:tcPr>
          <w:p>
            <w:pPr>
              <w:jc w:val="left"/>
            </w:pPr>
            <w:r>
              <w:rPr>
                <w:rFonts w:ascii="Calibri" w:hAnsi="Calibri"/>
                <w:color w:val="0F172A"/>
                <w:sz w:val="19"/>
              </w:rPr>
              <w:t>Vector Chunks &amp; Prompts</w:t>
            </w:r>
          </w:p>
        </w:tc>
        <w:tc>
          <w:tcPr>
            <w:tcW w:type="dxa" w:w="1872"/>
            <w:shd w:fill="FFFFFF"/>
            <w:tcMar>
              <w:top w:w="100" w:type="dxa"/>
              <w:bottom w:w="100" w:type="dxa"/>
              <w:left w:w="160" w:type="dxa"/>
              <w:right w:w="160" w:type="dxa"/>
            </w:tcMar>
          </w:tcPr>
          <w:p>
            <w:pPr>
              <w:jc w:val="left"/>
            </w:pPr>
            <w:r>
              <w:rPr>
                <w:rFonts w:ascii="Calibri" w:hAnsi="Calibri"/>
                <w:color w:val="0F172A"/>
                <w:sz w:val="19"/>
              </w:rPr>
              <w:t>Structured JSON Findings</w:t>
            </w:r>
          </w:p>
        </w:tc>
        <w:tc>
          <w:tcPr>
            <w:tcW w:type="dxa" w:w="1872"/>
            <w:shd w:fill="FFFFFF"/>
            <w:tcMar>
              <w:top w:w="100" w:type="dxa"/>
              <w:bottom w:w="100" w:type="dxa"/>
              <w:left w:w="160" w:type="dxa"/>
              <w:right w:w="160" w:type="dxa"/>
            </w:tcMar>
          </w:tcPr>
          <w:p>
            <w:pPr>
              <w:jc w:val="left"/>
            </w:pPr>
            <w:r>
              <w:rPr>
                <w:rFonts w:ascii="Calibri" w:hAnsi="Calibri"/>
                <w:color w:val="0F172A"/>
                <w:sz w:val="19"/>
              </w:rPr>
              <w:t>DS3: Vectors &amp; DS5: Findings</w:t>
            </w:r>
          </w:p>
        </w:tc>
      </w:tr>
      <w:tr>
        <w:tc>
          <w:tcPr>
            <w:tcW w:type="dxa" w:w="1872"/>
            <w:shd w:fill="F8FAFC"/>
            <w:tcMar>
              <w:top w:w="100" w:type="dxa"/>
              <w:bottom w:w="100" w:type="dxa"/>
              <w:left w:w="160" w:type="dxa"/>
              <w:right w:w="160" w:type="dxa"/>
            </w:tcMar>
          </w:tcPr>
          <w:p>
            <w:pPr>
              <w:jc w:val="left"/>
            </w:pPr>
            <w:r>
              <w:rPr>
                <w:rFonts w:ascii="Calibri" w:hAnsi="Calibri"/>
                <w:color w:val="0F172A"/>
                <w:sz w:val="19"/>
              </w:rPr>
              <w:t>6.0 GST Reconciliation</w:t>
            </w:r>
          </w:p>
        </w:tc>
        <w:tc>
          <w:tcPr>
            <w:tcW w:type="dxa" w:w="2016"/>
            <w:shd w:fill="F8FAFC"/>
            <w:tcMar>
              <w:top w:w="100" w:type="dxa"/>
              <w:bottom w:w="100" w:type="dxa"/>
              <w:left w:w="160" w:type="dxa"/>
              <w:right w:w="160" w:type="dxa"/>
            </w:tcMar>
          </w:tcPr>
          <w:p>
            <w:pPr>
              <w:jc w:val="left"/>
            </w:pPr>
            <w:r>
              <w:rPr>
                <w:rFonts w:ascii="Calibri" w:hAnsi="Calibri"/>
                <w:color w:val="0F172A"/>
                <w:sz w:val="19"/>
              </w:rPr>
              <w:t>Multi-way matching GSTR-1/2B/3B</w:t>
            </w:r>
          </w:p>
        </w:tc>
        <w:tc>
          <w:tcPr>
            <w:tcW w:type="dxa" w:w="1728"/>
            <w:shd w:fill="F8FAFC"/>
            <w:tcMar>
              <w:top w:w="100" w:type="dxa"/>
              <w:bottom w:w="100" w:type="dxa"/>
              <w:left w:w="160" w:type="dxa"/>
              <w:right w:w="160" w:type="dxa"/>
            </w:tcMar>
          </w:tcPr>
          <w:p>
            <w:pPr>
              <w:jc w:val="left"/>
            </w:pPr>
            <w:r>
              <w:rPr>
                <w:rFonts w:ascii="Calibri" w:hAnsi="Calibri"/>
                <w:color w:val="0F172A"/>
                <w:sz w:val="19"/>
              </w:rPr>
              <w:t>Purchase Registers &amp; GST Returns</w:t>
            </w:r>
          </w:p>
        </w:tc>
        <w:tc>
          <w:tcPr>
            <w:tcW w:type="dxa" w:w="1872"/>
            <w:shd w:fill="F8FAFC"/>
            <w:tcMar>
              <w:top w:w="100" w:type="dxa"/>
              <w:bottom w:w="100" w:type="dxa"/>
              <w:left w:w="160" w:type="dxa"/>
              <w:right w:w="160" w:type="dxa"/>
            </w:tcMar>
          </w:tcPr>
          <w:p>
            <w:pPr>
              <w:jc w:val="left"/>
            </w:pPr>
            <w:r>
              <w:rPr>
                <w:rFonts w:ascii="Calibri" w:hAnsi="Calibri"/>
                <w:color w:val="0F172A"/>
                <w:sz w:val="19"/>
              </w:rPr>
              <w:t>ITC Mismatch &amp; Penalty Alerts</w:t>
            </w:r>
          </w:p>
        </w:tc>
        <w:tc>
          <w:tcPr>
            <w:tcW w:type="dxa" w:w="1872"/>
            <w:shd w:fill="F8FAFC"/>
            <w:tcMar>
              <w:top w:w="100" w:type="dxa"/>
              <w:bottom w:w="100" w:type="dxa"/>
              <w:left w:w="160" w:type="dxa"/>
              <w:right w:w="160" w:type="dxa"/>
            </w:tcMar>
          </w:tcPr>
          <w:p>
            <w:pPr>
              <w:jc w:val="left"/>
            </w:pPr>
            <w:r>
              <w:rPr>
                <w:rFonts w:ascii="Calibri" w:hAnsi="Calibri"/>
                <w:color w:val="0F172A"/>
                <w:sz w:val="19"/>
              </w:rPr>
              <w:t>DS5: Risk &amp; Findings Repos</w:t>
            </w:r>
          </w:p>
        </w:tc>
      </w:tr>
      <w:tr>
        <w:tc>
          <w:tcPr>
            <w:tcW w:type="dxa" w:w="1872"/>
            <w:shd w:fill="FFFFFF"/>
            <w:tcMar>
              <w:top w:w="100" w:type="dxa"/>
              <w:bottom w:w="100" w:type="dxa"/>
              <w:left w:w="160" w:type="dxa"/>
              <w:right w:w="160" w:type="dxa"/>
            </w:tcMar>
          </w:tcPr>
          <w:p>
            <w:pPr>
              <w:jc w:val="left"/>
            </w:pPr>
            <w:r>
              <w:rPr>
                <w:rFonts w:ascii="Calibri" w:hAnsi="Calibri"/>
                <w:color w:val="0F172A"/>
                <w:sz w:val="19"/>
              </w:rPr>
              <w:t>7.0 Working Paper &amp; Report</w:t>
            </w:r>
          </w:p>
        </w:tc>
        <w:tc>
          <w:tcPr>
            <w:tcW w:type="dxa" w:w="2016"/>
            <w:shd w:fill="FFFFFF"/>
            <w:tcMar>
              <w:top w:w="100" w:type="dxa"/>
              <w:bottom w:w="100" w:type="dxa"/>
              <w:left w:w="160" w:type="dxa"/>
              <w:right w:w="160" w:type="dxa"/>
            </w:tcMar>
          </w:tcPr>
          <w:p>
            <w:pPr>
              <w:jc w:val="left"/>
            </w:pPr>
            <w:r>
              <w:rPr>
                <w:rFonts w:ascii="Calibri" w:hAnsi="Calibri"/>
                <w:color w:val="0F172A"/>
                <w:sz w:val="19"/>
              </w:rPr>
              <w:t>Generate CA working papers &amp; PDF</w:t>
            </w:r>
          </w:p>
        </w:tc>
        <w:tc>
          <w:tcPr>
            <w:tcW w:type="dxa" w:w="1728"/>
            <w:shd w:fill="FFFFFF"/>
            <w:tcMar>
              <w:top w:w="100" w:type="dxa"/>
              <w:bottom w:w="100" w:type="dxa"/>
              <w:left w:w="160" w:type="dxa"/>
              <w:right w:w="160" w:type="dxa"/>
            </w:tcMar>
          </w:tcPr>
          <w:p>
            <w:pPr>
              <w:jc w:val="left"/>
            </w:pPr>
            <w:r>
              <w:rPr>
                <w:rFonts w:ascii="Calibri" w:hAnsi="Calibri"/>
                <w:color w:val="0F172A"/>
                <w:sz w:val="19"/>
              </w:rPr>
              <w:t>Engagement Findings &amp; Risk Matrix</w:t>
            </w:r>
          </w:p>
        </w:tc>
        <w:tc>
          <w:tcPr>
            <w:tcW w:type="dxa" w:w="1872"/>
            <w:shd w:fill="FFFFFF"/>
            <w:tcMar>
              <w:top w:w="100" w:type="dxa"/>
              <w:bottom w:w="100" w:type="dxa"/>
              <w:left w:w="160" w:type="dxa"/>
              <w:right w:w="160" w:type="dxa"/>
            </w:tcMar>
          </w:tcPr>
          <w:p>
            <w:pPr>
              <w:jc w:val="left"/>
            </w:pPr>
            <w:r>
              <w:rPr>
                <w:rFonts w:ascii="Calibri" w:hAnsi="Calibri"/>
                <w:color w:val="0F172A"/>
                <w:sz w:val="19"/>
              </w:rPr>
              <w:t>Deloitte-style PDF Audit Report</w:t>
            </w:r>
          </w:p>
        </w:tc>
        <w:tc>
          <w:tcPr>
            <w:tcW w:type="dxa" w:w="1872"/>
            <w:shd w:fill="FFFFFF"/>
            <w:tcMar>
              <w:top w:w="100" w:type="dxa"/>
              <w:bottom w:w="100" w:type="dxa"/>
              <w:left w:w="160" w:type="dxa"/>
              <w:right w:w="160" w:type="dxa"/>
            </w:tcMar>
          </w:tcPr>
          <w:p>
            <w:pPr>
              <w:jc w:val="left"/>
            </w:pPr>
            <w:r>
              <w:rPr>
                <w:rFonts w:ascii="Calibri" w:hAnsi="Calibri"/>
                <w:color w:val="0F172A"/>
                <w:sz w:val="19"/>
              </w:rPr>
              <w:t>DS5: Working Papers Repository</w:t>
            </w:r>
          </w:p>
        </w:tc>
      </w:tr>
      <w:tr>
        <w:tc>
          <w:tcPr>
            <w:tcW w:type="dxa" w:w="1872"/>
            <w:shd w:fill="F8FAFC"/>
            <w:tcMar>
              <w:top w:w="100" w:type="dxa"/>
              <w:bottom w:w="100" w:type="dxa"/>
              <w:left w:w="160" w:type="dxa"/>
              <w:right w:w="160" w:type="dxa"/>
            </w:tcMar>
          </w:tcPr>
          <w:p>
            <w:pPr>
              <w:jc w:val="left"/>
            </w:pPr>
            <w:r>
              <w:rPr>
                <w:rFonts w:ascii="Calibri" w:hAnsi="Calibri"/>
                <w:color w:val="0F172A"/>
                <w:sz w:val="19"/>
              </w:rPr>
              <w:t>8.0 Governance &amp; Logging</w:t>
            </w:r>
          </w:p>
        </w:tc>
        <w:tc>
          <w:tcPr>
            <w:tcW w:type="dxa" w:w="2016"/>
            <w:shd w:fill="F8FAFC"/>
            <w:tcMar>
              <w:top w:w="100" w:type="dxa"/>
              <w:bottom w:w="100" w:type="dxa"/>
              <w:left w:w="160" w:type="dxa"/>
              <w:right w:w="160" w:type="dxa"/>
            </w:tcMar>
          </w:tcPr>
          <w:p>
            <w:pPr>
              <w:jc w:val="left"/>
            </w:pPr>
            <w:r>
              <w:rPr>
                <w:rFonts w:ascii="Calibri" w:hAnsi="Calibri"/>
                <w:color w:val="0F172A"/>
                <w:sz w:val="19"/>
              </w:rPr>
              <w:t>Record security events &amp; hash chain</w:t>
            </w:r>
          </w:p>
        </w:tc>
        <w:tc>
          <w:tcPr>
            <w:tcW w:type="dxa" w:w="1728"/>
            <w:shd w:fill="F8FAFC"/>
            <w:tcMar>
              <w:top w:w="100" w:type="dxa"/>
              <w:bottom w:w="100" w:type="dxa"/>
              <w:left w:w="160" w:type="dxa"/>
              <w:right w:w="160" w:type="dxa"/>
            </w:tcMar>
          </w:tcPr>
          <w:p>
            <w:pPr>
              <w:jc w:val="left"/>
            </w:pPr>
            <w:r>
              <w:rPr>
                <w:rFonts w:ascii="Calibri" w:hAnsi="Calibri"/>
                <w:color w:val="0F172A"/>
                <w:sz w:val="19"/>
              </w:rPr>
              <w:t>System Actions &amp; Error Traces</w:t>
            </w:r>
          </w:p>
        </w:tc>
        <w:tc>
          <w:tcPr>
            <w:tcW w:type="dxa" w:w="1872"/>
            <w:shd w:fill="F8FAFC"/>
            <w:tcMar>
              <w:top w:w="100" w:type="dxa"/>
              <w:bottom w:w="100" w:type="dxa"/>
              <w:left w:w="160" w:type="dxa"/>
              <w:right w:w="160" w:type="dxa"/>
            </w:tcMar>
          </w:tcPr>
          <w:p>
            <w:pPr>
              <w:jc w:val="left"/>
            </w:pPr>
            <w:r>
              <w:rPr>
                <w:rFonts w:ascii="Calibri" w:hAnsi="Calibri"/>
                <w:color w:val="0F172A"/>
                <w:sz w:val="19"/>
              </w:rPr>
              <w:t>Append-Only Audit Trail Ledger</w:t>
            </w:r>
          </w:p>
        </w:tc>
        <w:tc>
          <w:tcPr>
            <w:tcW w:type="dxa" w:w="1872"/>
            <w:shd w:fill="F8FAFC"/>
            <w:tcMar>
              <w:top w:w="100" w:type="dxa"/>
              <w:bottom w:w="100" w:type="dxa"/>
              <w:left w:w="160" w:type="dxa"/>
              <w:right w:w="160" w:type="dxa"/>
            </w:tcMar>
          </w:tcPr>
          <w:p>
            <w:pPr>
              <w:jc w:val="left"/>
            </w:pPr>
            <w:r>
              <w:rPr>
                <w:rFonts w:ascii="Calibri" w:hAnsi="Calibri"/>
                <w:color w:val="0F172A"/>
                <w:sz w:val="19"/>
              </w:rPr>
              <w:t>DS6: Security Audit Ledger</w:t>
            </w:r>
          </w:p>
        </w:tc>
      </w:tr>
    </w:tbl>
    <w:p>
      <w:pPr>
        <w:keepNext/>
        <w:spacing w:before="280" w:after="120"/>
      </w:pPr>
      <w:r>
        <w:rPr>
          <w:rFonts w:ascii="Calibri" w:hAnsi="Calibri"/>
          <w:b/>
          <w:color w:val="2563EB"/>
          <w:sz w:val="28"/>
        </w:rPr>
        <w:t>3.3 DFD Level 2 (Detailed Ingestion &amp; AI Risk Subsystems)</w:t>
      </w:r>
    </w:p>
    <w:p>
      <w:pPr>
        <w:spacing w:before="0" w:after="120" w:line="276" w:lineRule="auto"/>
      </w:pPr>
      <w:r>
        <w:rPr>
          <w:rFonts w:ascii="Calibri" w:hAnsi="Calibri"/>
          <w:color w:val="334155"/>
          <w:sz w:val="22"/>
        </w:rPr>
        <w:t>The Level 2 DFD provides a microscopic view of Process 3.0 (Document Ingestion &amp; Parsing), Process 4.0 (Rule Engine), and Process 5.0 (AI Copilot RAG Pipeline).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3A8A"/>
            <w:tcMar>
              <w:top w:w="140" w:type="dxa"/>
              <w:bottom w:w="140" w:type="dxa"/>
              <w:left w:w="180" w:type="dxa"/>
              <w:right w:w="180" w:type="dxa"/>
            </w:tcMar>
          </w:tcPr>
          <w:p>
            <w:pPr>
              <w:jc w:val="left"/>
            </w:pPr>
            <w:r>
              <w:rPr>
                <w:rFonts w:ascii="Calibri" w:hAnsi="Calibri"/>
                <w:b/>
                <w:color w:val="FFFFFF"/>
                <w:sz w:val="20"/>
              </w:rPr>
              <w:t>Sub-Process ID</w:t>
            </w:r>
          </w:p>
        </w:tc>
        <w:tc>
          <w:tcPr>
            <w:tcW w:type="dxa" w:w="2160"/>
            <w:shd w:fill="1E3A8A"/>
            <w:tcMar>
              <w:top w:w="140" w:type="dxa"/>
              <w:bottom w:w="140" w:type="dxa"/>
              <w:left w:w="180" w:type="dxa"/>
              <w:right w:w="180" w:type="dxa"/>
            </w:tcMar>
          </w:tcPr>
          <w:p>
            <w:pPr>
              <w:jc w:val="left"/>
            </w:pPr>
            <w:r>
              <w:rPr>
                <w:rFonts w:ascii="Calibri" w:hAnsi="Calibri"/>
                <w:b/>
                <w:color w:val="FFFFFF"/>
                <w:sz w:val="20"/>
              </w:rPr>
              <w:t>Detailed Action</w:t>
            </w:r>
          </w:p>
        </w:tc>
        <w:tc>
          <w:tcPr>
            <w:tcW w:type="dxa" w:w="1728"/>
            <w:shd w:fill="1E3A8A"/>
            <w:tcMar>
              <w:top w:w="140" w:type="dxa"/>
              <w:bottom w:w="140" w:type="dxa"/>
              <w:left w:w="180" w:type="dxa"/>
              <w:right w:w="180" w:type="dxa"/>
            </w:tcMar>
          </w:tcPr>
          <w:p>
            <w:pPr>
              <w:jc w:val="left"/>
            </w:pPr>
            <w:r>
              <w:rPr>
                <w:rFonts w:ascii="Calibri" w:hAnsi="Calibri"/>
                <w:b/>
                <w:color w:val="FFFFFF"/>
                <w:sz w:val="20"/>
              </w:rPr>
              <w:t>Input Payload</w:t>
            </w:r>
          </w:p>
        </w:tc>
        <w:tc>
          <w:tcPr>
            <w:tcW w:type="dxa" w:w="2016"/>
            <w:shd w:fill="1E3A8A"/>
            <w:tcMar>
              <w:top w:w="140" w:type="dxa"/>
              <w:bottom w:w="140" w:type="dxa"/>
              <w:left w:w="180" w:type="dxa"/>
              <w:right w:w="180" w:type="dxa"/>
            </w:tcMar>
          </w:tcPr>
          <w:p>
            <w:pPr>
              <w:jc w:val="left"/>
            </w:pPr>
            <w:r>
              <w:rPr>
                <w:rFonts w:ascii="Calibri" w:hAnsi="Calibri"/>
                <w:b/>
                <w:color w:val="FFFFFF"/>
                <w:sz w:val="20"/>
              </w:rPr>
              <w:t>Output Transformation</w:t>
            </w:r>
          </w:p>
        </w:tc>
        <w:tc>
          <w:tcPr>
            <w:tcW w:type="dxa" w:w="1872"/>
            <w:shd w:fill="1E3A8A"/>
            <w:tcMar>
              <w:top w:w="140" w:type="dxa"/>
              <w:bottom w:w="140" w:type="dxa"/>
              <w:left w:w="180" w:type="dxa"/>
              <w:right w:w="180" w:type="dxa"/>
            </w:tcMar>
          </w:tcPr>
          <w:p>
            <w:pPr>
              <w:jc w:val="left"/>
            </w:pPr>
            <w:r>
              <w:rPr>
                <w:rFonts w:ascii="Calibri" w:hAnsi="Calibri"/>
                <w:b/>
                <w:color w:val="FFFFFF"/>
                <w:sz w:val="20"/>
              </w:rPr>
              <w:t>Destination Store</w:t>
            </w:r>
          </w:p>
        </w:tc>
      </w:tr>
      <w:tr>
        <w:tc>
          <w:tcPr>
            <w:tcW w:type="dxa" w:w="1584"/>
            <w:shd w:fill="FFFFFF"/>
            <w:tcMar>
              <w:top w:w="100" w:type="dxa"/>
              <w:bottom w:w="100" w:type="dxa"/>
              <w:left w:w="160" w:type="dxa"/>
              <w:right w:w="160" w:type="dxa"/>
            </w:tcMar>
          </w:tcPr>
          <w:p>
            <w:pPr>
              <w:jc w:val="left"/>
            </w:pPr>
            <w:r>
              <w:rPr>
                <w:rFonts w:ascii="Calibri" w:hAnsi="Calibri"/>
                <w:color w:val="0F172A"/>
                <w:sz w:val="19"/>
              </w:rPr>
              <w:t>3.1 File Ingestion</w:t>
            </w:r>
          </w:p>
        </w:tc>
        <w:tc>
          <w:tcPr>
            <w:tcW w:type="dxa" w:w="2160"/>
            <w:shd w:fill="FFFFFF"/>
            <w:tcMar>
              <w:top w:w="100" w:type="dxa"/>
              <w:bottom w:w="100" w:type="dxa"/>
              <w:left w:w="160" w:type="dxa"/>
              <w:right w:w="160" w:type="dxa"/>
            </w:tcMar>
          </w:tcPr>
          <w:p>
            <w:pPr>
              <w:jc w:val="left"/>
            </w:pPr>
            <w:r>
              <w:rPr>
                <w:rFonts w:ascii="Calibri" w:hAnsi="Calibri"/>
                <w:color w:val="0F172A"/>
                <w:sz w:val="19"/>
              </w:rPr>
              <w:t>Validates file size (&lt;100MB) &amp; whitelist format</w:t>
            </w:r>
          </w:p>
        </w:tc>
        <w:tc>
          <w:tcPr>
            <w:tcW w:type="dxa" w:w="1728"/>
            <w:shd w:fill="FFFFFF"/>
            <w:tcMar>
              <w:top w:w="100" w:type="dxa"/>
              <w:bottom w:w="100" w:type="dxa"/>
              <w:left w:w="160" w:type="dxa"/>
              <w:right w:w="160" w:type="dxa"/>
            </w:tcMar>
          </w:tcPr>
          <w:p>
            <w:pPr>
              <w:jc w:val="left"/>
            </w:pPr>
            <w:r>
              <w:rPr>
                <w:rFonts w:ascii="Calibri" w:hAnsi="Calibri"/>
                <w:color w:val="0F172A"/>
                <w:sz w:val="19"/>
              </w:rPr>
              <w:t>Uploaded file path</w:t>
            </w:r>
          </w:p>
        </w:tc>
        <w:tc>
          <w:tcPr>
            <w:tcW w:type="dxa" w:w="2016"/>
            <w:shd w:fill="FFFFFF"/>
            <w:tcMar>
              <w:top w:w="100" w:type="dxa"/>
              <w:bottom w:w="100" w:type="dxa"/>
              <w:left w:w="160" w:type="dxa"/>
              <w:right w:w="160" w:type="dxa"/>
            </w:tcMar>
          </w:tcPr>
          <w:p>
            <w:pPr>
              <w:jc w:val="left"/>
            </w:pPr>
            <w:r>
              <w:rPr>
                <w:rFonts w:ascii="Calibri" w:hAnsi="Calibri"/>
                <w:color w:val="0F172A"/>
                <w:sz w:val="19"/>
              </w:rPr>
              <w:t>Validated Binary Buffer</w:t>
            </w:r>
          </w:p>
        </w:tc>
        <w:tc>
          <w:tcPr>
            <w:tcW w:type="dxa" w:w="1872"/>
            <w:shd w:fill="FFFFFF"/>
            <w:tcMar>
              <w:top w:w="100" w:type="dxa"/>
              <w:bottom w:w="100" w:type="dxa"/>
              <w:left w:w="160" w:type="dxa"/>
              <w:right w:w="160" w:type="dxa"/>
            </w:tcMar>
          </w:tcPr>
          <w:p>
            <w:pPr>
              <w:jc w:val="left"/>
            </w:pPr>
            <w:r>
              <w:rPr>
                <w:rFonts w:ascii="Calibri" w:hAnsi="Calibri"/>
                <w:color w:val="0F172A"/>
                <w:sz w:val="19"/>
              </w:rPr>
              <w:t>Memory Pipeline</w:t>
            </w:r>
          </w:p>
        </w:tc>
      </w:tr>
      <w:tr>
        <w:tc>
          <w:tcPr>
            <w:tcW w:type="dxa" w:w="1584"/>
            <w:shd w:fill="F8FAFC"/>
            <w:tcMar>
              <w:top w:w="100" w:type="dxa"/>
              <w:bottom w:w="100" w:type="dxa"/>
              <w:left w:w="160" w:type="dxa"/>
              <w:right w:w="160" w:type="dxa"/>
            </w:tcMar>
          </w:tcPr>
          <w:p>
            <w:pPr>
              <w:jc w:val="left"/>
            </w:pPr>
            <w:r>
              <w:rPr>
                <w:rFonts w:ascii="Calibri" w:hAnsi="Calibri"/>
                <w:color w:val="0F172A"/>
                <w:sz w:val="19"/>
              </w:rPr>
              <w:t>3.2 SHA-256 Hashing</w:t>
            </w:r>
          </w:p>
        </w:tc>
        <w:tc>
          <w:tcPr>
            <w:tcW w:type="dxa" w:w="2160"/>
            <w:shd w:fill="F8FAFC"/>
            <w:tcMar>
              <w:top w:w="100" w:type="dxa"/>
              <w:bottom w:w="100" w:type="dxa"/>
              <w:left w:w="160" w:type="dxa"/>
              <w:right w:w="160" w:type="dxa"/>
            </w:tcMar>
          </w:tcPr>
          <w:p>
            <w:pPr>
              <w:jc w:val="left"/>
            </w:pPr>
            <w:r>
              <w:rPr>
                <w:rFonts w:ascii="Calibri" w:hAnsi="Calibri"/>
                <w:color w:val="0F172A"/>
                <w:sz w:val="19"/>
              </w:rPr>
              <w:t>Computes digital fingerprint to deduplicate</w:t>
            </w:r>
          </w:p>
        </w:tc>
        <w:tc>
          <w:tcPr>
            <w:tcW w:type="dxa" w:w="1728"/>
            <w:shd w:fill="F8FAFC"/>
            <w:tcMar>
              <w:top w:w="100" w:type="dxa"/>
              <w:bottom w:w="100" w:type="dxa"/>
              <w:left w:w="160" w:type="dxa"/>
              <w:right w:w="160" w:type="dxa"/>
            </w:tcMar>
          </w:tcPr>
          <w:p>
            <w:pPr>
              <w:jc w:val="left"/>
            </w:pPr>
            <w:r>
              <w:rPr>
                <w:rFonts w:ascii="Calibri" w:hAnsi="Calibri"/>
                <w:color w:val="0F172A"/>
                <w:sz w:val="19"/>
              </w:rPr>
              <w:t>Binary Buffer</w:t>
            </w:r>
          </w:p>
        </w:tc>
        <w:tc>
          <w:tcPr>
            <w:tcW w:type="dxa" w:w="2016"/>
            <w:shd w:fill="F8FAFC"/>
            <w:tcMar>
              <w:top w:w="100" w:type="dxa"/>
              <w:bottom w:w="100" w:type="dxa"/>
              <w:left w:w="160" w:type="dxa"/>
              <w:right w:w="160" w:type="dxa"/>
            </w:tcMar>
          </w:tcPr>
          <w:p>
            <w:pPr>
              <w:jc w:val="left"/>
            </w:pPr>
            <w:r>
              <w:rPr>
                <w:rFonts w:ascii="Calibri" w:hAnsi="Calibri"/>
                <w:color w:val="0F172A"/>
                <w:sz w:val="19"/>
              </w:rPr>
              <w:t>SHA-256 Hash String</w:t>
            </w:r>
          </w:p>
        </w:tc>
        <w:tc>
          <w:tcPr>
            <w:tcW w:type="dxa" w:w="1872"/>
            <w:shd w:fill="F8FAFC"/>
            <w:tcMar>
              <w:top w:w="100" w:type="dxa"/>
              <w:bottom w:w="100" w:type="dxa"/>
              <w:left w:w="160" w:type="dxa"/>
              <w:right w:w="160" w:type="dxa"/>
            </w:tcMar>
          </w:tcPr>
          <w:p>
            <w:pPr>
              <w:jc w:val="left"/>
            </w:pPr>
            <w:r>
              <w:rPr>
                <w:rFonts w:ascii="Calibri" w:hAnsi="Calibri"/>
                <w:color w:val="0F172A"/>
                <w:sz w:val="19"/>
              </w:rPr>
              <w:t>DS3: Documents</w:t>
            </w:r>
          </w:p>
        </w:tc>
      </w:tr>
      <w:tr>
        <w:tc>
          <w:tcPr>
            <w:tcW w:type="dxa" w:w="1584"/>
            <w:shd w:fill="FFFFFF"/>
            <w:tcMar>
              <w:top w:w="100" w:type="dxa"/>
              <w:bottom w:w="100" w:type="dxa"/>
              <w:left w:w="160" w:type="dxa"/>
              <w:right w:w="160" w:type="dxa"/>
            </w:tcMar>
          </w:tcPr>
          <w:p>
            <w:pPr>
              <w:jc w:val="left"/>
            </w:pPr>
            <w:r>
              <w:rPr>
                <w:rFonts w:ascii="Calibri" w:hAnsi="Calibri"/>
                <w:color w:val="0F172A"/>
                <w:sz w:val="19"/>
              </w:rPr>
              <w:t>3.3 Multi-Engine OCR</w:t>
            </w:r>
          </w:p>
        </w:tc>
        <w:tc>
          <w:tcPr>
            <w:tcW w:type="dxa" w:w="2160"/>
            <w:shd w:fill="FFFFFF"/>
            <w:tcMar>
              <w:top w:w="100" w:type="dxa"/>
              <w:bottom w:w="100" w:type="dxa"/>
              <w:left w:w="160" w:type="dxa"/>
              <w:right w:w="160" w:type="dxa"/>
            </w:tcMar>
          </w:tcPr>
          <w:p>
            <w:pPr>
              <w:jc w:val="left"/>
            </w:pPr>
            <w:r>
              <w:rPr>
                <w:rFonts w:ascii="Calibri" w:hAnsi="Calibri"/>
                <w:color w:val="0F172A"/>
                <w:sz w:val="19"/>
              </w:rPr>
              <w:t>Extracts text &amp; tables via pdfplumber/Tesseract</w:t>
            </w:r>
          </w:p>
        </w:tc>
        <w:tc>
          <w:tcPr>
            <w:tcW w:type="dxa" w:w="1728"/>
            <w:shd w:fill="FFFFFF"/>
            <w:tcMar>
              <w:top w:w="100" w:type="dxa"/>
              <w:bottom w:w="100" w:type="dxa"/>
              <w:left w:w="160" w:type="dxa"/>
              <w:right w:w="160" w:type="dxa"/>
            </w:tcMar>
          </w:tcPr>
          <w:p>
            <w:pPr>
              <w:jc w:val="left"/>
            </w:pPr>
            <w:r>
              <w:rPr>
                <w:rFonts w:ascii="Calibri" w:hAnsi="Calibri"/>
                <w:color w:val="0F172A"/>
                <w:sz w:val="19"/>
              </w:rPr>
              <w:t>Validated PDF/Image</w:t>
            </w:r>
          </w:p>
        </w:tc>
        <w:tc>
          <w:tcPr>
            <w:tcW w:type="dxa" w:w="2016"/>
            <w:shd w:fill="FFFFFF"/>
            <w:tcMar>
              <w:top w:w="100" w:type="dxa"/>
              <w:bottom w:w="100" w:type="dxa"/>
              <w:left w:w="160" w:type="dxa"/>
              <w:right w:w="160" w:type="dxa"/>
            </w:tcMar>
          </w:tcPr>
          <w:p>
            <w:pPr>
              <w:jc w:val="left"/>
            </w:pPr>
            <w:r>
              <w:rPr>
                <w:rFonts w:ascii="Calibri" w:hAnsi="Calibri"/>
                <w:color w:val="0F172A"/>
                <w:sz w:val="19"/>
              </w:rPr>
              <w:t>Structured Plaintext &amp; Grids</w:t>
            </w:r>
          </w:p>
        </w:tc>
        <w:tc>
          <w:tcPr>
            <w:tcW w:type="dxa" w:w="1872"/>
            <w:shd w:fill="FFFFFF"/>
            <w:tcMar>
              <w:top w:w="100" w:type="dxa"/>
              <w:bottom w:w="100" w:type="dxa"/>
              <w:left w:w="160" w:type="dxa"/>
              <w:right w:w="160" w:type="dxa"/>
            </w:tcMar>
          </w:tcPr>
          <w:p>
            <w:pPr>
              <w:jc w:val="left"/>
            </w:pPr>
            <w:r>
              <w:rPr>
                <w:rFonts w:ascii="Calibri" w:hAnsi="Calibri"/>
                <w:color w:val="0F172A"/>
                <w:sz w:val="19"/>
              </w:rPr>
              <w:t>DS3: Documents</w:t>
            </w:r>
          </w:p>
        </w:tc>
      </w:tr>
      <w:tr>
        <w:tc>
          <w:tcPr>
            <w:tcW w:type="dxa" w:w="1584"/>
            <w:shd w:fill="F8FAFC"/>
            <w:tcMar>
              <w:top w:w="100" w:type="dxa"/>
              <w:bottom w:w="100" w:type="dxa"/>
              <w:left w:w="160" w:type="dxa"/>
              <w:right w:w="160" w:type="dxa"/>
            </w:tcMar>
          </w:tcPr>
          <w:p>
            <w:pPr>
              <w:jc w:val="left"/>
            </w:pPr>
            <w:r>
              <w:rPr>
                <w:rFonts w:ascii="Calibri" w:hAnsi="Calibri"/>
                <w:color w:val="0F172A"/>
                <w:sz w:val="19"/>
              </w:rPr>
              <w:t>3.4 Vector Embeddings</w:t>
            </w:r>
          </w:p>
        </w:tc>
        <w:tc>
          <w:tcPr>
            <w:tcW w:type="dxa" w:w="2160"/>
            <w:shd w:fill="F8FAFC"/>
            <w:tcMar>
              <w:top w:w="100" w:type="dxa"/>
              <w:bottom w:w="100" w:type="dxa"/>
              <w:left w:w="160" w:type="dxa"/>
              <w:right w:w="160" w:type="dxa"/>
            </w:tcMar>
          </w:tcPr>
          <w:p>
            <w:pPr>
              <w:jc w:val="left"/>
            </w:pPr>
            <w:r>
              <w:rPr>
                <w:rFonts w:ascii="Calibri" w:hAnsi="Calibri"/>
                <w:color w:val="0F172A"/>
                <w:sz w:val="19"/>
              </w:rPr>
              <w:t>Chunks text into paragraphs &amp; computes vectors</w:t>
            </w:r>
          </w:p>
        </w:tc>
        <w:tc>
          <w:tcPr>
            <w:tcW w:type="dxa" w:w="1728"/>
            <w:shd w:fill="F8FAFC"/>
            <w:tcMar>
              <w:top w:w="100" w:type="dxa"/>
              <w:bottom w:w="100" w:type="dxa"/>
              <w:left w:w="160" w:type="dxa"/>
              <w:right w:w="160" w:type="dxa"/>
            </w:tcMar>
          </w:tcPr>
          <w:p>
            <w:pPr>
              <w:jc w:val="left"/>
            </w:pPr>
            <w:r>
              <w:rPr>
                <w:rFonts w:ascii="Calibri" w:hAnsi="Calibri"/>
                <w:color w:val="0F172A"/>
                <w:sz w:val="19"/>
              </w:rPr>
              <w:t>Structured Plaintext</w:t>
            </w:r>
          </w:p>
        </w:tc>
        <w:tc>
          <w:tcPr>
            <w:tcW w:type="dxa" w:w="2016"/>
            <w:shd w:fill="F8FAFC"/>
            <w:tcMar>
              <w:top w:w="100" w:type="dxa"/>
              <w:bottom w:w="100" w:type="dxa"/>
              <w:left w:w="160" w:type="dxa"/>
              <w:right w:w="160" w:type="dxa"/>
            </w:tcMar>
          </w:tcPr>
          <w:p>
            <w:pPr>
              <w:jc w:val="left"/>
            </w:pPr>
            <w:r>
              <w:rPr>
                <w:rFonts w:ascii="Calibri" w:hAnsi="Calibri"/>
                <w:color w:val="0F172A"/>
                <w:sz w:val="19"/>
              </w:rPr>
              <w:t>384-dim Embedding Vectors</w:t>
            </w:r>
          </w:p>
        </w:tc>
        <w:tc>
          <w:tcPr>
            <w:tcW w:type="dxa" w:w="1872"/>
            <w:shd w:fill="F8FAFC"/>
            <w:tcMar>
              <w:top w:w="100" w:type="dxa"/>
              <w:bottom w:w="100" w:type="dxa"/>
              <w:left w:w="160" w:type="dxa"/>
              <w:right w:w="160" w:type="dxa"/>
            </w:tcMar>
          </w:tcPr>
          <w:p>
            <w:pPr>
              <w:jc w:val="left"/>
            </w:pPr>
            <w:r>
              <w:rPr>
                <w:rFonts w:ascii="Calibri" w:hAnsi="Calibri"/>
                <w:color w:val="0F172A"/>
                <w:sz w:val="19"/>
              </w:rPr>
              <w:t>DS3: Vector Store</w:t>
            </w:r>
          </w:p>
        </w:tc>
      </w:tr>
      <w:tr>
        <w:tc>
          <w:tcPr>
            <w:tcW w:type="dxa" w:w="1584"/>
            <w:shd w:fill="FFFFFF"/>
            <w:tcMar>
              <w:top w:w="100" w:type="dxa"/>
              <w:bottom w:w="100" w:type="dxa"/>
              <w:left w:w="160" w:type="dxa"/>
              <w:right w:w="160" w:type="dxa"/>
            </w:tcMar>
          </w:tcPr>
          <w:p>
            <w:pPr>
              <w:jc w:val="left"/>
            </w:pPr>
            <w:r>
              <w:rPr>
                <w:rFonts w:ascii="Calibri" w:hAnsi="Calibri"/>
                <w:color w:val="0F172A"/>
                <w:sz w:val="19"/>
              </w:rPr>
              <w:t>4.1 Rule Evaluator</w:t>
            </w:r>
          </w:p>
        </w:tc>
        <w:tc>
          <w:tcPr>
            <w:tcW w:type="dxa" w:w="2160"/>
            <w:shd w:fill="FFFFFF"/>
            <w:tcMar>
              <w:top w:w="100" w:type="dxa"/>
              <w:bottom w:w="100" w:type="dxa"/>
              <w:left w:w="160" w:type="dxa"/>
              <w:right w:w="160" w:type="dxa"/>
            </w:tcMar>
          </w:tcPr>
          <w:p>
            <w:pPr>
              <w:jc w:val="left"/>
            </w:pPr>
            <w:r>
              <w:rPr>
                <w:rFonts w:ascii="Calibri" w:hAnsi="Calibri"/>
                <w:color w:val="0F172A"/>
                <w:sz w:val="19"/>
              </w:rPr>
              <w:t>Executes 100+ statutory rules (Sec 40A(3), etc.)</w:t>
            </w:r>
          </w:p>
        </w:tc>
        <w:tc>
          <w:tcPr>
            <w:tcW w:type="dxa" w:w="1728"/>
            <w:shd w:fill="FFFFFF"/>
            <w:tcMar>
              <w:top w:w="100" w:type="dxa"/>
              <w:bottom w:w="100" w:type="dxa"/>
              <w:left w:w="160" w:type="dxa"/>
              <w:right w:w="160" w:type="dxa"/>
            </w:tcMar>
          </w:tcPr>
          <w:p>
            <w:pPr>
              <w:jc w:val="left"/>
            </w:pPr>
            <w:r>
              <w:rPr>
                <w:rFonts w:ascii="Calibri" w:hAnsi="Calibri"/>
                <w:color w:val="0F172A"/>
                <w:sz w:val="19"/>
              </w:rPr>
              <w:t>Ledger Data &amp; Invoices</w:t>
            </w:r>
          </w:p>
        </w:tc>
        <w:tc>
          <w:tcPr>
            <w:tcW w:type="dxa" w:w="2016"/>
            <w:shd w:fill="FFFFFF"/>
            <w:tcMar>
              <w:top w:w="100" w:type="dxa"/>
              <w:bottom w:w="100" w:type="dxa"/>
              <w:left w:w="160" w:type="dxa"/>
              <w:right w:w="160" w:type="dxa"/>
            </w:tcMar>
          </w:tcPr>
          <w:p>
            <w:pPr>
              <w:jc w:val="left"/>
            </w:pPr>
            <w:r>
              <w:rPr>
                <w:rFonts w:ascii="Calibri" w:hAnsi="Calibri"/>
                <w:color w:val="0F172A"/>
                <w:sz w:val="19"/>
              </w:rPr>
              <w:t>Rule Violation Objects</w:t>
            </w:r>
          </w:p>
        </w:tc>
        <w:tc>
          <w:tcPr>
            <w:tcW w:type="dxa" w:w="1872"/>
            <w:shd w:fill="FFFFFF"/>
            <w:tcMar>
              <w:top w:w="100" w:type="dxa"/>
              <w:bottom w:w="100" w:type="dxa"/>
              <w:left w:w="160" w:type="dxa"/>
              <w:right w:w="160" w:type="dxa"/>
            </w:tcMar>
          </w:tcPr>
          <w:p>
            <w:pPr>
              <w:jc w:val="left"/>
            </w:pPr>
            <w:r>
              <w:rPr>
                <w:rFonts w:ascii="Calibri" w:hAnsi="Calibri"/>
                <w:color w:val="0F172A"/>
                <w:sz w:val="19"/>
              </w:rPr>
              <w:t>DS5: Risk Findings</w:t>
            </w:r>
          </w:p>
        </w:tc>
      </w:tr>
      <w:tr>
        <w:tc>
          <w:tcPr>
            <w:tcW w:type="dxa" w:w="1584"/>
            <w:shd w:fill="F8FAFC"/>
            <w:tcMar>
              <w:top w:w="100" w:type="dxa"/>
              <w:bottom w:w="100" w:type="dxa"/>
              <w:left w:w="160" w:type="dxa"/>
              <w:right w:w="160" w:type="dxa"/>
            </w:tcMar>
          </w:tcPr>
          <w:p>
            <w:pPr>
              <w:jc w:val="left"/>
            </w:pPr>
            <w:r>
              <w:rPr>
                <w:rFonts w:ascii="Calibri" w:hAnsi="Calibri"/>
                <w:color w:val="0F172A"/>
                <w:sz w:val="19"/>
              </w:rPr>
              <w:t>4.2 Benford's Analysis</w:t>
            </w:r>
          </w:p>
        </w:tc>
        <w:tc>
          <w:tcPr>
            <w:tcW w:type="dxa" w:w="2160"/>
            <w:shd w:fill="F8FAFC"/>
            <w:tcMar>
              <w:top w:w="100" w:type="dxa"/>
              <w:bottom w:w="100" w:type="dxa"/>
              <w:left w:w="160" w:type="dxa"/>
              <w:right w:w="160" w:type="dxa"/>
            </w:tcMar>
          </w:tcPr>
          <w:p>
            <w:pPr>
              <w:jc w:val="left"/>
            </w:pPr>
            <w:r>
              <w:rPr>
                <w:rFonts w:ascii="Calibri" w:hAnsi="Calibri"/>
                <w:color w:val="0F172A"/>
                <w:sz w:val="19"/>
              </w:rPr>
              <w:t>Computes first-digit frequency Chi-Square test</w:t>
            </w:r>
          </w:p>
        </w:tc>
        <w:tc>
          <w:tcPr>
            <w:tcW w:type="dxa" w:w="1728"/>
            <w:shd w:fill="F8FAFC"/>
            <w:tcMar>
              <w:top w:w="100" w:type="dxa"/>
              <w:bottom w:w="100" w:type="dxa"/>
              <w:left w:w="160" w:type="dxa"/>
              <w:right w:w="160" w:type="dxa"/>
            </w:tcMar>
          </w:tcPr>
          <w:p>
            <w:pPr>
              <w:jc w:val="left"/>
            </w:pPr>
            <w:r>
              <w:rPr>
                <w:rFonts w:ascii="Calibri" w:hAnsi="Calibri"/>
                <w:color w:val="0F172A"/>
                <w:sz w:val="19"/>
              </w:rPr>
              <w:t>Transaction Amounts</w:t>
            </w:r>
          </w:p>
        </w:tc>
        <w:tc>
          <w:tcPr>
            <w:tcW w:type="dxa" w:w="2016"/>
            <w:shd w:fill="F8FAFC"/>
            <w:tcMar>
              <w:top w:w="100" w:type="dxa"/>
              <w:bottom w:w="100" w:type="dxa"/>
              <w:left w:w="160" w:type="dxa"/>
              <w:right w:w="160" w:type="dxa"/>
            </w:tcMar>
          </w:tcPr>
          <w:p>
            <w:pPr>
              <w:jc w:val="left"/>
            </w:pPr>
            <w:r>
              <w:rPr>
                <w:rFonts w:ascii="Calibri" w:hAnsi="Calibri"/>
                <w:color w:val="0F172A"/>
                <w:sz w:val="19"/>
              </w:rPr>
              <w:t>Benford Deviation Score</w:t>
            </w:r>
          </w:p>
        </w:tc>
        <w:tc>
          <w:tcPr>
            <w:tcW w:type="dxa" w:w="1872"/>
            <w:shd w:fill="F8FAFC"/>
            <w:tcMar>
              <w:top w:w="100" w:type="dxa"/>
              <w:bottom w:w="100" w:type="dxa"/>
              <w:left w:w="160" w:type="dxa"/>
              <w:right w:w="160" w:type="dxa"/>
            </w:tcMar>
          </w:tcPr>
          <w:p>
            <w:pPr>
              <w:jc w:val="left"/>
            </w:pPr>
            <w:r>
              <w:rPr>
                <w:rFonts w:ascii="Calibri" w:hAnsi="Calibri"/>
                <w:color w:val="0F172A"/>
                <w:sz w:val="19"/>
              </w:rPr>
              <w:t>DS5: Risk Findings</w:t>
            </w:r>
          </w:p>
        </w:tc>
      </w:tr>
      <w:tr>
        <w:tc>
          <w:tcPr>
            <w:tcW w:type="dxa" w:w="1584"/>
            <w:shd w:fill="FFFFFF"/>
            <w:tcMar>
              <w:top w:w="100" w:type="dxa"/>
              <w:bottom w:w="100" w:type="dxa"/>
              <w:left w:w="160" w:type="dxa"/>
              <w:right w:w="160" w:type="dxa"/>
            </w:tcMar>
          </w:tcPr>
          <w:p>
            <w:pPr>
              <w:jc w:val="left"/>
            </w:pPr>
            <w:r>
              <w:rPr>
                <w:rFonts w:ascii="Calibri" w:hAnsi="Calibri"/>
                <w:color w:val="0F172A"/>
                <w:sz w:val="19"/>
              </w:rPr>
              <w:t>5.1 Context Retriever</w:t>
            </w:r>
          </w:p>
        </w:tc>
        <w:tc>
          <w:tcPr>
            <w:tcW w:type="dxa" w:w="2160"/>
            <w:shd w:fill="FFFFFF"/>
            <w:tcMar>
              <w:top w:w="100" w:type="dxa"/>
              <w:bottom w:w="100" w:type="dxa"/>
              <w:left w:w="160" w:type="dxa"/>
              <w:right w:w="160" w:type="dxa"/>
            </w:tcMar>
          </w:tcPr>
          <w:p>
            <w:pPr>
              <w:jc w:val="left"/>
            </w:pPr>
            <w:r>
              <w:rPr>
                <w:rFonts w:ascii="Calibri" w:hAnsi="Calibri"/>
                <w:color w:val="0F172A"/>
                <w:sz w:val="19"/>
              </w:rPr>
              <w:t>Queries FAISS vector index for relevant chunks</w:t>
            </w:r>
          </w:p>
        </w:tc>
        <w:tc>
          <w:tcPr>
            <w:tcW w:type="dxa" w:w="1728"/>
            <w:shd w:fill="FFFFFF"/>
            <w:tcMar>
              <w:top w:w="100" w:type="dxa"/>
              <w:bottom w:w="100" w:type="dxa"/>
              <w:left w:w="160" w:type="dxa"/>
              <w:right w:w="160" w:type="dxa"/>
            </w:tcMar>
          </w:tcPr>
          <w:p>
            <w:pPr>
              <w:jc w:val="left"/>
            </w:pPr>
            <w:r>
              <w:rPr>
                <w:rFonts w:ascii="Calibri" w:hAnsi="Calibri"/>
                <w:color w:val="0F172A"/>
                <w:sz w:val="19"/>
              </w:rPr>
              <w:t>Audit Query &amp; Rules</w:t>
            </w:r>
          </w:p>
        </w:tc>
        <w:tc>
          <w:tcPr>
            <w:tcW w:type="dxa" w:w="2016"/>
            <w:shd w:fill="FFFFFF"/>
            <w:tcMar>
              <w:top w:w="100" w:type="dxa"/>
              <w:bottom w:w="100" w:type="dxa"/>
              <w:left w:w="160" w:type="dxa"/>
              <w:right w:w="160" w:type="dxa"/>
            </w:tcMar>
          </w:tcPr>
          <w:p>
            <w:pPr>
              <w:jc w:val="left"/>
            </w:pPr>
            <w:r>
              <w:rPr>
                <w:rFonts w:ascii="Calibri" w:hAnsi="Calibri"/>
                <w:color w:val="0F172A"/>
                <w:sz w:val="19"/>
              </w:rPr>
              <w:t>Top-K Text Embeddings</w:t>
            </w:r>
          </w:p>
        </w:tc>
        <w:tc>
          <w:tcPr>
            <w:tcW w:type="dxa" w:w="1872"/>
            <w:shd w:fill="FFFFFF"/>
            <w:tcMar>
              <w:top w:w="100" w:type="dxa"/>
              <w:bottom w:w="100" w:type="dxa"/>
              <w:left w:w="160" w:type="dxa"/>
              <w:right w:w="160" w:type="dxa"/>
            </w:tcMar>
          </w:tcPr>
          <w:p>
            <w:pPr>
              <w:jc w:val="left"/>
            </w:pPr>
            <w:r>
              <w:rPr>
                <w:rFonts w:ascii="Calibri" w:hAnsi="Calibri"/>
                <w:color w:val="0F172A"/>
                <w:sz w:val="19"/>
              </w:rPr>
              <w:t>Prompt Engine</w:t>
            </w:r>
          </w:p>
        </w:tc>
      </w:tr>
      <w:tr>
        <w:tc>
          <w:tcPr>
            <w:tcW w:type="dxa" w:w="1584"/>
            <w:shd w:fill="F8FAFC"/>
            <w:tcMar>
              <w:top w:w="100" w:type="dxa"/>
              <w:bottom w:w="100" w:type="dxa"/>
              <w:left w:w="160" w:type="dxa"/>
              <w:right w:w="160" w:type="dxa"/>
            </w:tcMar>
          </w:tcPr>
          <w:p>
            <w:pPr>
              <w:jc w:val="left"/>
            </w:pPr>
            <w:r>
              <w:rPr>
                <w:rFonts w:ascii="Calibri" w:hAnsi="Calibri"/>
                <w:color w:val="0F172A"/>
                <w:sz w:val="19"/>
              </w:rPr>
              <w:t>5.2 LLM Generator</w:t>
            </w:r>
          </w:p>
        </w:tc>
        <w:tc>
          <w:tcPr>
            <w:tcW w:type="dxa" w:w="2160"/>
            <w:shd w:fill="F8FAFC"/>
            <w:tcMar>
              <w:top w:w="100" w:type="dxa"/>
              <w:bottom w:w="100" w:type="dxa"/>
              <w:left w:w="160" w:type="dxa"/>
              <w:right w:w="160" w:type="dxa"/>
            </w:tcMar>
          </w:tcPr>
          <w:p>
            <w:pPr>
              <w:jc w:val="left"/>
            </w:pPr>
            <w:r>
              <w:rPr>
                <w:rFonts w:ascii="Calibri" w:hAnsi="Calibri"/>
                <w:color w:val="0F172A"/>
                <w:sz w:val="19"/>
              </w:rPr>
              <w:t>Executes local Ollama LLM with JSON schema</w:t>
            </w:r>
          </w:p>
        </w:tc>
        <w:tc>
          <w:tcPr>
            <w:tcW w:type="dxa" w:w="1728"/>
            <w:shd w:fill="F8FAFC"/>
            <w:tcMar>
              <w:top w:w="100" w:type="dxa"/>
              <w:bottom w:w="100" w:type="dxa"/>
              <w:left w:w="160" w:type="dxa"/>
              <w:right w:w="160" w:type="dxa"/>
            </w:tcMar>
          </w:tcPr>
          <w:p>
            <w:pPr>
              <w:jc w:val="left"/>
            </w:pPr>
            <w:r>
              <w:rPr>
                <w:rFonts w:ascii="Calibri" w:hAnsi="Calibri"/>
                <w:color w:val="0F172A"/>
                <w:sz w:val="19"/>
              </w:rPr>
              <w:t>Prompts &amp; RAG Context</w:t>
            </w:r>
          </w:p>
        </w:tc>
        <w:tc>
          <w:tcPr>
            <w:tcW w:type="dxa" w:w="2016"/>
            <w:shd w:fill="F8FAFC"/>
            <w:tcMar>
              <w:top w:w="100" w:type="dxa"/>
              <w:bottom w:w="100" w:type="dxa"/>
              <w:left w:w="160" w:type="dxa"/>
              <w:right w:w="160" w:type="dxa"/>
            </w:tcMar>
          </w:tcPr>
          <w:p>
            <w:pPr>
              <w:jc w:val="left"/>
            </w:pPr>
            <w:r>
              <w:rPr>
                <w:rFonts w:ascii="Calibri" w:hAnsi="Calibri"/>
                <w:color w:val="0F172A"/>
                <w:sz w:val="19"/>
              </w:rPr>
              <w:t>Strict JSON Audit Report</w:t>
            </w:r>
          </w:p>
        </w:tc>
        <w:tc>
          <w:tcPr>
            <w:tcW w:type="dxa" w:w="1872"/>
            <w:shd w:fill="F8FAFC"/>
            <w:tcMar>
              <w:top w:w="100" w:type="dxa"/>
              <w:bottom w:w="100" w:type="dxa"/>
              <w:left w:w="160" w:type="dxa"/>
              <w:right w:w="160" w:type="dxa"/>
            </w:tcMar>
          </w:tcPr>
          <w:p>
            <w:pPr>
              <w:jc w:val="left"/>
            </w:pPr>
            <w:r>
              <w:rPr>
                <w:rFonts w:ascii="Calibri" w:hAnsi="Calibri"/>
                <w:color w:val="0F172A"/>
                <w:sz w:val="19"/>
              </w:rPr>
              <w:t>DS5: Risk Findings</w:t>
            </w:r>
          </w:p>
        </w:tc>
      </w:tr>
    </w:tbl>
    <w:p>
      <w:r>
        <w:br w:type="page"/>
      </w:r>
    </w:p>
    <w:p>
      <w:pPr>
        <w:keepNext/>
        <w:spacing w:before="360" w:after="160"/>
      </w:pPr>
      <w:r>
        <w:rPr>
          <w:rFonts w:ascii="Calibri" w:hAnsi="Calibri"/>
          <w:b/>
          <w:color w:val="1E3A8A"/>
          <w:sz w:val="36"/>
        </w:rPr>
        <w:t>4. Use Case Diagrams (Use Case Diagram 1 and Diagram 2)</w:t>
      </w:r>
    </w:p>
    <w:p>
      <w:pPr>
        <w:spacing w:before="0" w:after="120" w:line="276" w:lineRule="auto"/>
      </w:pPr>
      <w:r>
        <w:rPr>
          <w:rFonts w:ascii="Calibri" w:hAnsi="Calibri"/>
          <w:color w:val="334155"/>
          <w:sz w:val="22"/>
        </w:rPr>
        <w:t>Use Case Diagrams define the interactions between system actors (human users and automated local system services) and the functional capabilities provided by FinAuditPro.</w:t>
      </w:r>
    </w:p>
    <w:p>
      <w:pPr>
        <w:keepNext/>
        <w:spacing w:before="280" w:after="120"/>
      </w:pPr>
      <w:r>
        <w:rPr>
          <w:rFonts w:ascii="Calibri" w:hAnsi="Calibri"/>
          <w:b/>
          <w:color w:val="2563EB"/>
          <w:sz w:val="28"/>
        </w:rPr>
        <w:t>4.1 Use Case Diagram 1: Core Financial Audit &amp; Document Intelligence</w:t>
      </w:r>
    </w:p>
    <w:p>
      <w:pPr>
        <w:spacing w:before="0" w:after="120" w:line="276" w:lineRule="auto"/>
      </w:pPr>
      <w:r>
        <w:rPr>
          <w:rFonts w:ascii="Calibri" w:hAnsi="Calibri"/>
          <w:color w:val="334155"/>
          <w:sz w:val="22"/>
        </w:rPr>
        <w:t>Use Case Diagram 1 models the primary operational workflows executed by Chartered Accountants and Audit Assistants during client engagements.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3A8A"/>
            <w:tcMar>
              <w:top w:w="140" w:type="dxa"/>
              <w:bottom w:w="140" w:type="dxa"/>
              <w:left w:w="180" w:type="dxa"/>
              <w:right w:w="180" w:type="dxa"/>
            </w:tcMar>
          </w:tcPr>
          <w:p>
            <w:pPr>
              <w:jc w:val="left"/>
            </w:pPr>
            <w:r>
              <w:rPr>
                <w:rFonts w:ascii="Calibri" w:hAnsi="Calibri"/>
                <w:b/>
                <w:color w:val="FFFFFF"/>
                <w:sz w:val="20"/>
              </w:rPr>
              <w:t>Use Case ID</w:t>
            </w:r>
          </w:p>
        </w:tc>
        <w:tc>
          <w:tcPr>
            <w:tcW w:type="dxa" w:w="2160"/>
            <w:shd w:fill="1E3A8A"/>
            <w:tcMar>
              <w:top w:w="140" w:type="dxa"/>
              <w:bottom w:w="140" w:type="dxa"/>
              <w:left w:w="180" w:type="dxa"/>
              <w:right w:w="180" w:type="dxa"/>
            </w:tcMar>
          </w:tcPr>
          <w:p>
            <w:pPr>
              <w:jc w:val="left"/>
            </w:pPr>
            <w:r>
              <w:rPr>
                <w:rFonts w:ascii="Calibri" w:hAnsi="Calibri"/>
                <w:b/>
                <w:color w:val="FFFFFF"/>
                <w:sz w:val="20"/>
              </w:rPr>
              <w:t>Use Case Title</w:t>
            </w:r>
          </w:p>
        </w:tc>
        <w:tc>
          <w:tcPr>
            <w:tcW w:type="dxa" w:w="1440"/>
            <w:shd w:fill="1E3A8A"/>
            <w:tcMar>
              <w:top w:w="140" w:type="dxa"/>
              <w:bottom w:w="140" w:type="dxa"/>
              <w:left w:w="180" w:type="dxa"/>
              <w:right w:w="180" w:type="dxa"/>
            </w:tcMar>
          </w:tcPr>
          <w:p>
            <w:pPr>
              <w:jc w:val="left"/>
            </w:pPr>
            <w:r>
              <w:rPr>
                <w:rFonts w:ascii="Calibri" w:hAnsi="Calibri"/>
                <w:b/>
                <w:color w:val="FFFFFF"/>
                <w:sz w:val="20"/>
              </w:rPr>
              <w:t>Primary Actor</w:t>
            </w:r>
          </w:p>
        </w:tc>
        <w:tc>
          <w:tcPr>
            <w:tcW w:type="dxa" w:w="2880"/>
            <w:shd w:fill="1E3A8A"/>
            <w:tcMar>
              <w:top w:w="140" w:type="dxa"/>
              <w:bottom w:w="140" w:type="dxa"/>
              <w:left w:w="180" w:type="dxa"/>
              <w:right w:w="180" w:type="dxa"/>
            </w:tcMar>
          </w:tcPr>
          <w:p>
            <w:pPr>
              <w:jc w:val="left"/>
            </w:pPr>
            <w:r>
              <w:rPr>
                <w:rFonts w:ascii="Calibri" w:hAnsi="Calibri"/>
                <w:b/>
                <w:color w:val="FFFFFF"/>
                <w:sz w:val="20"/>
              </w:rPr>
              <w:t>Description &amp; Goal</w:t>
            </w:r>
          </w:p>
        </w:tc>
        <w:tc>
          <w:tcPr>
            <w:tcW w:type="dxa" w:w="1728"/>
            <w:shd w:fill="1E3A8A"/>
            <w:tcMar>
              <w:top w:w="140" w:type="dxa"/>
              <w:bottom w:w="140" w:type="dxa"/>
              <w:left w:w="180" w:type="dxa"/>
              <w:right w:w="180" w:type="dxa"/>
            </w:tcMar>
          </w:tcPr>
          <w:p>
            <w:pPr>
              <w:jc w:val="left"/>
            </w:pPr>
            <w:r>
              <w:rPr>
                <w:rFonts w:ascii="Calibri" w:hAnsi="Calibri"/>
                <w:b/>
                <w:color w:val="FFFFFF"/>
                <w:sz w:val="20"/>
              </w:rPr>
              <w:t>Include / Extend Rules</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UC-1.1</w:t>
            </w:r>
          </w:p>
        </w:tc>
        <w:tc>
          <w:tcPr>
            <w:tcW w:type="dxa" w:w="2160"/>
            <w:shd w:fill="FFFFFF"/>
            <w:tcMar>
              <w:top w:w="100" w:type="dxa"/>
              <w:bottom w:w="100" w:type="dxa"/>
              <w:left w:w="160" w:type="dxa"/>
              <w:right w:w="160" w:type="dxa"/>
            </w:tcMar>
          </w:tcPr>
          <w:p>
            <w:pPr>
              <w:jc w:val="left"/>
            </w:pPr>
            <w:r>
              <w:rPr>
                <w:rFonts w:ascii="Calibri" w:hAnsi="Calibri"/>
                <w:color w:val="0F172A"/>
                <w:sz w:val="19"/>
              </w:rPr>
              <w:t>Authenticate &amp; Login</w:t>
            </w:r>
          </w:p>
        </w:tc>
        <w:tc>
          <w:tcPr>
            <w:tcW w:type="dxa" w:w="1440"/>
            <w:shd w:fill="FFFFFF"/>
            <w:tcMar>
              <w:top w:w="100" w:type="dxa"/>
              <w:bottom w:w="100" w:type="dxa"/>
              <w:left w:w="160" w:type="dxa"/>
              <w:right w:w="160" w:type="dxa"/>
            </w:tcMar>
          </w:tcPr>
          <w:p>
            <w:pPr>
              <w:jc w:val="left"/>
            </w:pPr>
            <w:r>
              <w:rPr>
                <w:rFonts w:ascii="Calibri" w:hAnsi="Calibri"/>
                <w:color w:val="0F172A"/>
                <w:sz w:val="19"/>
              </w:rPr>
              <w:t>CA / Auditor</w:t>
            </w:r>
          </w:p>
        </w:tc>
        <w:tc>
          <w:tcPr>
            <w:tcW w:type="dxa" w:w="2880"/>
            <w:shd w:fill="FFFFFF"/>
            <w:tcMar>
              <w:top w:w="100" w:type="dxa"/>
              <w:bottom w:w="100" w:type="dxa"/>
              <w:left w:w="160" w:type="dxa"/>
              <w:right w:w="160" w:type="dxa"/>
            </w:tcMar>
          </w:tcPr>
          <w:p>
            <w:pPr>
              <w:jc w:val="left"/>
            </w:pPr>
            <w:r>
              <w:rPr>
                <w:rFonts w:ascii="Calibri" w:hAnsi="Calibri"/>
                <w:color w:val="0F172A"/>
                <w:sz w:val="19"/>
              </w:rPr>
              <w:t>Secure user access via email and PBKDF2 hashed password.</w:t>
            </w:r>
          </w:p>
        </w:tc>
        <w:tc>
          <w:tcPr>
            <w:tcW w:type="dxa" w:w="1728"/>
            <w:shd w:fill="FFFFFF"/>
            <w:tcMar>
              <w:top w:w="100" w:type="dxa"/>
              <w:bottom w:w="100" w:type="dxa"/>
              <w:left w:w="160" w:type="dxa"/>
              <w:right w:w="160" w:type="dxa"/>
            </w:tcMar>
          </w:tcPr>
          <w:p>
            <w:pPr>
              <w:jc w:val="left"/>
            </w:pPr>
            <w:r>
              <w:rPr>
                <w:rFonts w:ascii="Calibri" w:hAnsi="Calibri"/>
                <w:color w:val="0F172A"/>
                <w:sz w:val="19"/>
              </w:rPr>
              <w:t>Required for all actions</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UC-1.2</w:t>
            </w:r>
          </w:p>
        </w:tc>
        <w:tc>
          <w:tcPr>
            <w:tcW w:type="dxa" w:w="2160"/>
            <w:shd w:fill="F8FAFC"/>
            <w:tcMar>
              <w:top w:w="100" w:type="dxa"/>
              <w:bottom w:w="100" w:type="dxa"/>
              <w:left w:w="160" w:type="dxa"/>
              <w:right w:w="160" w:type="dxa"/>
            </w:tcMar>
          </w:tcPr>
          <w:p>
            <w:pPr>
              <w:jc w:val="left"/>
            </w:pPr>
            <w:r>
              <w:rPr>
                <w:rFonts w:ascii="Calibri" w:hAnsi="Calibri"/>
                <w:color w:val="0F172A"/>
                <w:sz w:val="19"/>
              </w:rPr>
              <w:t>Manage Client Directory</w:t>
            </w:r>
          </w:p>
        </w:tc>
        <w:tc>
          <w:tcPr>
            <w:tcW w:type="dxa" w:w="1440"/>
            <w:shd w:fill="F8FAFC"/>
            <w:tcMar>
              <w:top w:w="100" w:type="dxa"/>
              <w:bottom w:w="100" w:type="dxa"/>
              <w:left w:w="160" w:type="dxa"/>
              <w:right w:w="160" w:type="dxa"/>
            </w:tcMar>
          </w:tcPr>
          <w:p>
            <w:pPr>
              <w:jc w:val="left"/>
            </w:pPr>
            <w:r>
              <w:rPr>
                <w:rFonts w:ascii="Calibri" w:hAnsi="Calibri"/>
                <w:color w:val="0F172A"/>
                <w:sz w:val="19"/>
              </w:rPr>
              <w:t>CA / Auditor</w:t>
            </w:r>
          </w:p>
        </w:tc>
        <w:tc>
          <w:tcPr>
            <w:tcW w:type="dxa" w:w="2880"/>
            <w:shd w:fill="F8FAFC"/>
            <w:tcMar>
              <w:top w:w="100" w:type="dxa"/>
              <w:bottom w:w="100" w:type="dxa"/>
              <w:left w:w="160" w:type="dxa"/>
              <w:right w:w="160" w:type="dxa"/>
            </w:tcMar>
          </w:tcPr>
          <w:p>
            <w:pPr>
              <w:jc w:val="left"/>
            </w:pPr>
            <w:r>
              <w:rPr>
                <w:rFonts w:ascii="Calibri" w:hAnsi="Calibri"/>
                <w:color w:val="0F172A"/>
                <w:sz w:val="19"/>
              </w:rPr>
              <w:t>Create and edit client profiles, GSTINs, and PAN records.</w:t>
            </w:r>
          </w:p>
        </w:tc>
        <w:tc>
          <w:tcPr>
            <w:tcW w:type="dxa" w:w="1728"/>
            <w:shd w:fill="F8FAFC"/>
            <w:tcMar>
              <w:top w:w="100" w:type="dxa"/>
              <w:bottom w:w="100" w:type="dxa"/>
              <w:left w:w="160" w:type="dxa"/>
              <w:right w:w="160" w:type="dxa"/>
            </w:tcMar>
          </w:tcPr>
          <w:p>
            <w:pPr>
              <w:jc w:val="left"/>
            </w:pPr>
            <w:r>
              <w:rPr>
                <w:rFonts w:ascii="Calibri" w:hAnsi="Calibri"/>
                <w:color w:val="0F172A"/>
                <w:sz w:val="19"/>
              </w:rPr>
              <w:t>Includes GSTIN validation</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UC-1.3</w:t>
            </w:r>
          </w:p>
        </w:tc>
        <w:tc>
          <w:tcPr>
            <w:tcW w:type="dxa" w:w="2160"/>
            <w:shd w:fill="FFFFFF"/>
            <w:tcMar>
              <w:top w:w="100" w:type="dxa"/>
              <w:bottom w:w="100" w:type="dxa"/>
              <w:left w:w="160" w:type="dxa"/>
              <w:right w:w="160" w:type="dxa"/>
            </w:tcMar>
          </w:tcPr>
          <w:p>
            <w:pPr>
              <w:jc w:val="left"/>
            </w:pPr>
            <w:r>
              <w:rPr>
                <w:rFonts w:ascii="Calibri" w:hAnsi="Calibri"/>
                <w:color w:val="0F172A"/>
                <w:sz w:val="19"/>
              </w:rPr>
              <w:t>Create Audit Engagement</w:t>
            </w:r>
          </w:p>
        </w:tc>
        <w:tc>
          <w:tcPr>
            <w:tcW w:type="dxa" w:w="1440"/>
            <w:shd w:fill="FFFFFF"/>
            <w:tcMar>
              <w:top w:w="100" w:type="dxa"/>
              <w:bottom w:w="100" w:type="dxa"/>
              <w:left w:w="160" w:type="dxa"/>
              <w:right w:w="160" w:type="dxa"/>
            </w:tcMar>
          </w:tcPr>
          <w:p>
            <w:pPr>
              <w:jc w:val="left"/>
            </w:pPr>
            <w:r>
              <w:rPr>
                <w:rFonts w:ascii="Calibri" w:hAnsi="Calibri"/>
                <w:color w:val="0F172A"/>
                <w:sz w:val="19"/>
              </w:rPr>
              <w:t>CA / Auditor</w:t>
            </w:r>
          </w:p>
        </w:tc>
        <w:tc>
          <w:tcPr>
            <w:tcW w:type="dxa" w:w="2880"/>
            <w:shd w:fill="FFFFFF"/>
            <w:tcMar>
              <w:top w:w="100" w:type="dxa"/>
              <w:bottom w:w="100" w:type="dxa"/>
              <w:left w:w="160" w:type="dxa"/>
              <w:right w:w="160" w:type="dxa"/>
            </w:tcMar>
          </w:tcPr>
          <w:p>
            <w:pPr>
              <w:jc w:val="left"/>
            </w:pPr>
            <w:r>
              <w:rPr>
                <w:rFonts w:ascii="Calibri" w:hAnsi="Calibri"/>
                <w:color w:val="0F172A"/>
                <w:sz w:val="19"/>
              </w:rPr>
              <w:t>Initialize engagement for FY with 16-stage state machine.</w:t>
            </w:r>
          </w:p>
        </w:tc>
        <w:tc>
          <w:tcPr>
            <w:tcW w:type="dxa" w:w="1728"/>
            <w:shd w:fill="FFFFFF"/>
            <w:tcMar>
              <w:top w:w="100" w:type="dxa"/>
              <w:bottom w:w="100" w:type="dxa"/>
              <w:left w:w="160" w:type="dxa"/>
              <w:right w:w="160" w:type="dxa"/>
            </w:tcMar>
          </w:tcPr>
          <w:p>
            <w:pPr>
              <w:jc w:val="left"/>
            </w:pPr>
            <w:r>
              <w:rPr>
                <w:rFonts w:ascii="Calibri" w:hAnsi="Calibri"/>
                <w:color w:val="0F172A"/>
                <w:sz w:val="19"/>
              </w:rPr>
              <w:t>Includes Client profile</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UC-1.4</w:t>
            </w:r>
          </w:p>
        </w:tc>
        <w:tc>
          <w:tcPr>
            <w:tcW w:type="dxa" w:w="2160"/>
            <w:shd w:fill="F8FAFC"/>
            <w:tcMar>
              <w:top w:w="100" w:type="dxa"/>
              <w:bottom w:w="100" w:type="dxa"/>
              <w:left w:w="160" w:type="dxa"/>
              <w:right w:w="160" w:type="dxa"/>
            </w:tcMar>
          </w:tcPr>
          <w:p>
            <w:pPr>
              <w:jc w:val="left"/>
            </w:pPr>
            <w:r>
              <w:rPr>
                <w:rFonts w:ascii="Calibri" w:hAnsi="Calibri"/>
                <w:color w:val="0F172A"/>
                <w:sz w:val="19"/>
              </w:rPr>
              <w:t>Ingest &amp; Parse Documents</w:t>
            </w:r>
          </w:p>
        </w:tc>
        <w:tc>
          <w:tcPr>
            <w:tcW w:type="dxa" w:w="1440"/>
            <w:shd w:fill="F8FAFC"/>
            <w:tcMar>
              <w:top w:w="100" w:type="dxa"/>
              <w:bottom w:w="100" w:type="dxa"/>
              <w:left w:w="160" w:type="dxa"/>
              <w:right w:w="160" w:type="dxa"/>
            </w:tcMar>
          </w:tcPr>
          <w:p>
            <w:pPr>
              <w:jc w:val="left"/>
            </w:pPr>
            <w:r>
              <w:rPr>
                <w:rFonts w:ascii="Calibri" w:hAnsi="Calibri"/>
                <w:color w:val="0F172A"/>
                <w:sz w:val="19"/>
              </w:rPr>
              <w:t>CA / Senior</w:t>
            </w:r>
          </w:p>
        </w:tc>
        <w:tc>
          <w:tcPr>
            <w:tcW w:type="dxa" w:w="2880"/>
            <w:shd w:fill="F8FAFC"/>
            <w:tcMar>
              <w:top w:w="100" w:type="dxa"/>
              <w:bottom w:w="100" w:type="dxa"/>
              <w:left w:w="160" w:type="dxa"/>
              <w:right w:w="160" w:type="dxa"/>
            </w:tcMar>
          </w:tcPr>
          <w:p>
            <w:pPr>
              <w:jc w:val="left"/>
            </w:pPr>
            <w:r>
              <w:rPr>
                <w:rFonts w:ascii="Calibri" w:hAnsi="Calibri"/>
                <w:color w:val="0F172A"/>
                <w:sz w:val="19"/>
              </w:rPr>
              <w:t>Upload PDF/Excel/CSV files into engagement workspace.</w:t>
            </w:r>
          </w:p>
        </w:tc>
        <w:tc>
          <w:tcPr>
            <w:tcW w:type="dxa" w:w="1728"/>
            <w:shd w:fill="F8FAFC"/>
            <w:tcMar>
              <w:top w:w="100" w:type="dxa"/>
              <w:bottom w:w="100" w:type="dxa"/>
              <w:left w:w="160" w:type="dxa"/>
              <w:right w:w="160" w:type="dxa"/>
            </w:tcMar>
          </w:tcPr>
          <w:p>
            <w:pPr>
              <w:jc w:val="left"/>
            </w:pPr>
            <w:r>
              <w:rPr>
                <w:rFonts w:ascii="Calibri" w:hAnsi="Calibri"/>
                <w:color w:val="0F172A"/>
                <w:sz w:val="19"/>
              </w:rPr>
              <w:t>Includes SHA-256 hash</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UC-1.5</w:t>
            </w:r>
          </w:p>
        </w:tc>
        <w:tc>
          <w:tcPr>
            <w:tcW w:type="dxa" w:w="2160"/>
            <w:shd w:fill="FFFFFF"/>
            <w:tcMar>
              <w:top w:w="100" w:type="dxa"/>
              <w:bottom w:w="100" w:type="dxa"/>
              <w:left w:w="160" w:type="dxa"/>
              <w:right w:w="160" w:type="dxa"/>
            </w:tcMar>
          </w:tcPr>
          <w:p>
            <w:pPr>
              <w:jc w:val="left"/>
            </w:pPr>
            <w:r>
              <w:rPr>
                <w:rFonts w:ascii="Calibri" w:hAnsi="Calibri"/>
                <w:color w:val="0F172A"/>
                <w:sz w:val="19"/>
              </w:rPr>
              <w:t>Execute Multi-Engine OCR</w:t>
            </w:r>
          </w:p>
        </w:tc>
        <w:tc>
          <w:tcPr>
            <w:tcW w:type="dxa" w:w="1440"/>
            <w:shd w:fill="FFFFFF"/>
            <w:tcMar>
              <w:top w:w="100" w:type="dxa"/>
              <w:bottom w:w="100" w:type="dxa"/>
              <w:left w:w="160" w:type="dxa"/>
              <w:right w:w="160" w:type="dxa"/>
            </w:tcMar>
          </w:tcPr>
          <w:p>
            <w:pPr>
              <w:jc w:val="left"/>
            </w:pPr>
            <w:r>
              <w:rPr>
                <w:rFonts w:ascii="Calibri" w:hAnsi="Calibri"/>
                <w:color w:val="0F172A"/>
                <w:sz w:val="19"/>
              </w:rPr>
              <w:t>System (Auto)</w:t>
            </w:r>
          </w:p>
        </w:tc>
        <w:tc>
          <w:tcPr>
            <w:tcW w:type="dxa" w:w="2880"/>
            <w:shd w:fill="FFFFFF"/>
            <w:tcMar>
              <w:top w:w="100" w:type="dxa"/>
              <w:bottom w:w="100" w:type="dxa"/>
              <w:left w:w="160" w:type="dxa"/>
              <w:right w:w="160" w:type="dxa"/>
            </w:tcMar>
          </w:tcPr>
          <w:p>
            <w:pPr>
              <w:jc w:val="left"/>
            </w:pPr>
            <w:r>
              <w:rPr>
                <w:rFonts w:ascii="Calibri" w:hAnsi="Calibri"/>
                <w:color w:val="0F172A"/>
                <w:sz w:val="19"/>
              </w:rPr>
              <w:t>Extract text and tables using pdfplumber or Tesseract.</w:t>
            </w:r>
          </w:p>
        </w:tc>
        <w:tc>
          <w:tcPr>
            <w:tcW w:type="dxa" w:w="1728"/>
            <w:shd w:fill="FFFFFF"/>
            <w:tcMar>
              <w:top w:w="100" w:type="dxa"/>
              <w:bottom w:w="100" w:type="dxa"/>
              <w:left w:w="160" w:type="dxa"/>
              <w:right w:w="160" w:type="dxa"/>
            </w:tcMar>
          </w:tcPr>
          <w:p>
            <w:pPr>
              <w:jc w:val="left"/>
            </w:pPr>
            <w:r>
              <w:rPr>
                <w:rFonts w:ascii="Calibri" w:hAnsi="Calibri"/>
                <w:color w:val="0F172A"/>
                <w:sz w:val="19"/>
              </w:rPr>
              <w:t>Includes Vector Chunking</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UC-1.6</w:t>
            </w:r>
          </w:p>
        </w:tc>
        <w:tc>
          <w:tcPr>
            <w:tcW w:type="dxa" w:w="2160"/>
            <w:shd w:fill="F8FAFC"/>
            <w:tcMar>
              <w:top w:w="100" w:type="dxa"/>
              <w:bottom w:w="100" w:type="dxa"/>
              <w:left w:w="160" w:type="dxa"/>
              <w:right w:w="160" w:type="dxa"/>
            </w:tcMar>
          </w:tcPr>
          <w:p>
            <w:pPr>
              <w:jc w:val="left"/>
            </w:pPr>
            <w:r>
              <w:rPr>
                <w:rFonts w:ascii="Calibri" w:hAnsi="Calibri"/>
                <w:color w:val="0F172A"/>
                <w:sz w:val="19"/>
              </w:rPr>
              <w:t>Run Enterprise Audit Rules</w:t>
            </w:r>
          </w:p>
        </w:tc>
        <w:tc>
          <w:tcPr>
            <w:tcW w:type="dxa" w:w="1440"/>
            <w:shd w:fill="F8FAFC"/>
            <w:tcMar>
              <w:top w:w="100" w:type="dxa"/>
              <w:bottom w:w="100" w:type="dxa"/>
              <w:left w:w="160" w:type="dxa"/>
              <w:right w:w="160" w:type="dxa"/>
            </w:tcMar>
          </w:tcPr>
          <w:p>
            <w:pPr>
              <w:jc w:val="left"/>
            </w:pPr>
            <w:r>
              <w:rPr>
                <w:rFonts w:ascii="Calibri" w:hAnsi="Calibri"/>
                <w:color w:val="0F172A"/>
                <w:sz w:val="19"/>
              </w:rPr>
              <w:t>CA / Senior</w:t>
            </w:r>
          </w:p>
        </w:tc>
        <w:tc>
          <w:tcPr>
            <w:tcW w:type="dxa" w:w="2880"/>
            <w:shd w:fill="F8FAFC"/>
            <w:tcMar>
              <w:top w:w="100" w:type="dxa"/>
              <w:bottom w:w="100" w:type="dxa"/>
              <w:left w:w="160" w:type="dxa"/>
              <w:right w:w="160" w:type="dxa"/>
            </w:tcMar>
          </w:tcPr>
          <w:p>
            <w:pPr>
              <w:jc w:val="left"/>
            </w:pPr>
            <w:r>
              <w:rPr>
                <w:rFonts w:ascii="Calibri" w:hAnsi="Calibri"/>
                <w:color w:val="0F172A"/>
                <w:sz w:val="19"/>
              </w:rPr>
              <w:t>Evaluate 100+ offline statutory compliance rules.</w:t>
            </w:r>
          </w:p>
        </w:tc>
        <w:tc>
          <w:tcPr>
            <w:tcW w:type="dxa" w:w="1728"/>
            <w:shd w:fill="F8FAFC"/>
            <w:tcMar>
              <w:top w:w="100" w:type="dxa"/>
              <w:bottom w:w="100" w:type="dxa"/>
              <w:left w:w="160" w:type="dxa"/>
              <w:right w:w="160" w:type="dxa"/>
            </w:tcMar>
          </w:tcPr>
          <w:p>
            <w:pPr>
              <w:jc w:val="left"/>
            </w:pPr>
            <w:r>
              <w:rPr>
                <w:rFonts w:ascii="Calibri" w:hAnsi="Calibri"/>
                <w:color w:val="0F172A"/>
                <w:sz w:val="19"/>
              </w:rPr>
              <w:t>Includes Sec 40A(3)/206AA</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UC-1.7</w:t>
            </w:r>
          </w:p>
        </w:tc>
        <w:tc>
          <w:tcPr>
            <w:tcW w:type="dxa" w:w="2160"/>
            <w:shd w:fill="FFFFFF"/>
            <w:tcMar>
              <w:top w:w="100" w:type="dxa"/>
              <w:bottom w:w="100" w:type="dxa"/>
              <w:left w:w="160" w:type="dxa"/>
              <w:right w:w="160" w:type="dxa"/>
            </w:tcMar>
          </w:tcPr>
          <w:p>
            <w:pPr>
              <w:jc w:val="left"/>
            </w:pPr>
            <w:r>
              <w:rPr>
                <w:rFonts w:ascii="Calibri" w:hAnsi="Calibri"/>
                <w:color w:val="0F172A"/>
                <w:sz w:val="19"/>
              </w:rPr>
              <w:t>Execute Benford's Analysis</w:t>
            </w:r>
          </w:p>
        </w:tc>
        <w:tc>
          <w:tcPr>
            <w:tcW w:type="dxa" w:w="1440"/>
            <w:shd w:fill="FFFFFF"/>
            <w:tcMar>
              <w:top w:w="100" w:type="dxa"/>
              <w:bottom w:w="100" w:type="dxa"/>
              <w:left w:w="160" w:type="dxa"/>
              <w:right w:w="160" w:type="dxa"/>
            </w:tcMar>
          </w:tcPr>
          <w:p>
            <w:pPr>
              <w:jc w:val="left"/>
            </w:pPr>
            <w:r>
              <w:rPr>
                <w:rFonts w:ascii="Calibri" w:hAnsi="Calibri"/>
                <w:color w:val="0F172A"/>
                <w:sz w:val="19"/>
              </w:rPr>
              <w:t>CA / Senior</w:t>
            </w:r>
          </w:p>
        </w:tc>
        <w:tc>
          <w:tcPr>
            <w:tcW w:type="dxa" w:w="2880"/>
            <w:shd w:fill="FFFFFF"/>
            <w:tcMar>
              <w:top w:w="100" w:type="dxa"/>
              <w:bottom w:w="100" w:type="dxa"/>
              <w:left w:w="160" w:type="dxa"/>
              <w:right w:w="160" w:type="dxa"/>
            </w:tcMar>
          </w:tcPr>
          <w:p>
            <w:pPr>
              <w:jc w:val="left"/>
            </w:pPr>
            <w:r>
              <w:rPr>
                <w:rFonts w:ascii="Calibri" w:hAnsi="Calibri"/>
                <w:color w:val="0F172A"/>
                <w:sz w:val="19"/>
              </w:rPr>
              <w:t>Perform Chi-Square digit analysis for ledger fraud detection.</w:t>
            </w:r>
          </w:p>
        </w:tc>
        <w:tc>
          <w:tcPr>
            <w:tcW w:type="dxa" w:w="1728"/>
            <w:shd w:fill="FFFFFF"/>
            <w:tcMar>
              <w:top w:w="100" w:type="dxa"/>
              <w:bottom w:w="100" w:type="dxa"/>
              <w:left w:w="160" w:type="dxa"/>
              <w:right w:w="160" w:type="dxa"/>
            </w:tcMar>
          </w:tcPr>
          <w:p>
            <w:pPr>
              <w:jc w:val="left"/>
            </w:pPr>
            <w:r>
              <w:rPr>
                <w:rFonts w:ascii="Calibri" w:hAnsi="Calibri"/>
                <w:color w:val="0F172A"/>
                <w:sz w:val="19"/>
              </w:rPr>
              <w:t>Extends Rule Engine</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UC-1.8</w:t>
            </w:r>
          </w:p>
        </w:tc>
        <w:tc>
          <w:tcPr>
            <w:tcW w:type="dxa" w:w="2160"/>
            <w:shd w:fill="F8FAFC"/>
            <w:tcMar>
              <w:top w:w="100" w:type="dxa"/>
              <w:bottom w:w="100" w:type="dxa"/>
              <w:left w:w="160" w:type="dxa"/>
              <w:right w:w="160" w:type="dxa"/>
            </w:tcMar>
          </w:tcPr>
          <w:p>
            <w:pPr>
              <w:jc w:val="left"/>
            </w:pPr>
            <w:r>
              <w:rPr>
                <w:rFonts w:ascii="Calibri" w:hAnsi="Calibri"/>
                <w:color w:val="0F172A"/>
                <w:sz w:val="19"/>
              </w:rPr>
              <w:t>Reconcile GST (2B vs 3B)</w:t>
            </w:r>
          </w:p>
        </w:tc>
        <w:tc>
          <w:tcPr>
            <w:tcW w:type="dxa" w:w="1440"/>
            <w:shd w:fill="F8FAFC"/>
            <w:tcMar>
              <w:top w:w="100" w:type="dxa"/>
              <w:bottom w:w="100" w:type="dxa"/>
              <w:left w:w="160" w:type="dxa"/>
              <w:right w:w="160" w:type="dxa"/>
            </w:tcMar>
          </w:tcPr>
          <w:p>
            <w:pPr>
              <w:jc w:val="left"/>
            </w:pPr>
            <w:r>
              <w:rPr>
                <w:rFonts w:ascii="Calibri" w:hAnsi="Calibri"/>
                <w:color w:val="0F172A"/>
                <w:sz w:val="19"/>
              </w:rPr>
              <w:t>CA / Senior</w:t>
            </w:r>
          </w:p>
        </w:tc>
        <w:tc>
          <w:tcPr>
            <w:tcW w:type="dxa" w:w="2880"/>
            <w:shd w:fill="F8FAFC"/>
            <w:tcMar>
              <w:top w:w="100" w:type="dxa"/>
              <w:bottom w:w="100" w:type="dxa"/>
              <w:left w:w="160" w:type="dxa"/>
              <w:right w:w="160" w:type="dxa"/>
            </w:tcMar>
          </w:tcPr>
          <w:p>
            <w:pPr>
              <w:jc w:val="left"/>
            </w:pPr>
            <w:r>
              <w:rPr>
                <w:rFonts w:ascii="Calibri" w:hAnsi="Calibri"/>
                <w:color w:val="0F172A"/>
                <w:sz w:val="19"/>
              </w:rPr>
              <w:t>Cross-match GSTR-1, 2B, 3B returns against Purchase Register.</w:t>
            </w:r>
          </w:p>
        </w:tc>
        <w:tc>
          <w:tcPr>
            <w:tcW w:type="dxa" w:w="1728"/>
            <w:shd w:fill="F8FAFC"/>
            <w:tcMar>
              <w:top w:w="100" w:type="dxa"/>
              <w:bottom w:w="100" w:type="dxa"/>
              <w:left w:w="160" w:type="dxa"/>
              <w:right w:w="160" w:type="dxa"/>
            </w:tcMar>
          </w:tcPr>
          <w:p>
            <w:pPr>
              <w:jc w:val="left"/>
            </w:pPr>
            <w:r>
              <w:rPr>
                <w:rFonts w:ascii="Calibri" w:hAnsi="Calibri"/>
                <w:color w:val="0F172A"/>
                <w:sz w:val="19"/>
              </w:rPr>
              <w:t>Extends Ingestion</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UC-1.9</w:t>
            </w:r>
          </w:p>
        </w:tc>
        <w:tc>
          <w:tcPr>
            <w:tcW w:type="dxa" w:w="2160"/>
            <w:shd w:fill="FFFFFF"/>
            <w:tcMar>
              <w:top w:w="100" w:type="dxa"/>
              <w:bottom w:w="100" w:type="dxa"/>
              <w:left w:w="160" w:type="dxa"/>
              <w:right w:w="160" w:type="dxa"/>
            </w:tcMar>
          </w:tcPr>
          <w:p>
            <w:pPr>
              <w:jc w:val="left"/>
            </w:pPr>
            <w:r>
              <w:rPr>
                <w:rFonts w:ascii="Calibri" w:hAnsi="Calibri"/>
                <w:color w:val="0F172A"/>
                <w:sz w:val="19"/>
              </w:rPr>
              <w:t>View Risk Heatmap Matrix</w:t>
            </w:r>
          </w:p>
        </w:tc>
        <w:tc>
          <w:tcPr>
            <w:tcW w:type="dxa" w:w="1440"/>
            <w:shd w:fill="FFFFFF"/>
            <w:tcMar>
              <w:top w:w="100" w:type="dxa"/>
              <w:bottom w:w="100" w:type="dxa"/>
              <w:left w:w="160" w:type="dxa"/>
              <w:right w:w="160" w:type="dxa"/>
            </w:tcMar>
          </w:tcPr>
          <w:p>
            <w:pPr>
              <w:jc w:val="left"/>
            </w:pPr>
            <w:r>
              <w:rPr>
                <w:rFonts w:ascii="Calibri" w:hAnsi="Calibri"/>
                <w:color w:val="0F172A"/>
                <w:sz w:val="19"/>
              </w:rPr>
              <w:t>CA / Auditor</w:t>
            </w:r>
          </w:p>
        </w:tc>
        <w:tc>
          <w:tcPr>
            <w:tcW w:type="dxa" w:w="2880"/>
            <w:shd w:fill="FFFFFF"/>
            <w:tcMar>
              <w:top w:w="100" w:type="dxa"/>
              <w:bottom w:w="100" w:type="dxa"/>
              <w:left w:w="160" w:type="dxa"/>
              <w:right w:w="160" w:type="dxa"/>
            </w:tcMar>
          </w:tcPr>
          <w:p>
            <w:pPr>
              <w:jc w:val="left"/>
            </w:pPr>
            <w:r>
              <w:rPr>
                <w:rFonts w:ascii="Calibri" w:hAnsi="Calibri"/>
                <w:color w:val="0F172A"/>
                <w:sz w:val="19"/>
              </w:rPr>
              <w:t>Inspect interactive risk score donuts and anomaly heatmaps.</w:t>
            </w:r>
          </w:p>
        </w:tc>
        <w:tc>
          <w:tcPr>
            <w:tcW w:type="dxa" w:w="1728"/>
            <w:shd w:fill="FFFFFF"/>
            <w:tcMar>
              <w:top w:w="100" w:type="dxa"/>
              <w:bottom w:w="100" w:type="dxa"/>
              <w:left w:w="160" w:type="dxa"/>
              <w:right w:w="160" w:type="dxa"/>
            </w:tcMar>
          </w:tcPr>
          <w:p>
            <w:pPr>
              <w:jc w:val="left"/>
            </w:pPr>
            <w:r>
              <w:rPr>
                <w:rFonts w:ascii="Calibri" w:hAnsi="Calibri"/>
                <w:color w:val="0F172A"/>
                <w:sz w:val="19"/>
              </w:rPr>
              <w:t>Includes Risk Repository</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UC-1.10</w:t>
            </w:r>
          </w:p>
        </w:tc>
        <w:tc>
          <w:tcPr>
            <w:tcW w:type="dxa" w:w="2160"/>
            <w:shd w:fill="F8FAFC"/>
            <w:tcMar>
              <w:top w:w="100" w:type="dxa"/>
              <w:bottom w:w="100" w:type="dxa"/>
              <w:left w:w="160" w:type="dxa"/>
              <w:right w:w="160" w:type="dxa"/>
            </w:tcMar>
          </w:tcPr>
          <w:p>
            <w:pPr>
              <w:jc w:val="left"/>
            </w:pPr>
            <w:r>
              <w:rPr>
                <w:rFonts w:ascii="Calibri" w:hAnsi="Calibri"/>
                <w:color w:val="0F172A"/>
                <w:sz w:val="19"/>
              </w:rPr>
              <w:t>Query Offline AI Copilot</w:t>
            </w:r>
          </w:p>
        </w:tc>
        <w:tc>
          <w:tcPr>
            <w:tcW w:type="dxa" w:w="1440"/>
            <w:shd w:fill="F8FAFC"/>
            <w:tcMar>
              <w:top w:w="100" w:type="dxa"/>
              <w:bottom w:w="100" w:type="dxa"/>
              <w:left w:w="160" w:type="dxa"/>
              <w:right w:w="160" w:type="dxa"/>
            </w:tcMar>
          </w:tcPr>
          <w:p>
            <w:pPr>
              <w:jc w:val="left"/>
            </w:pPr>
            <w:r>
              <w:rPr>
                <w:rFonts w:ascii="Calibri" w:hAnsi="Calibri"/>
                <w:color w:val="0F172A"/>
                <w:sz w:val="19"/>
              </w:rPr>
              <w:t>CA / Auditor</w:t>
            </w:r>
          </w:p>
        </w:tc>
        <w:tc>
          <w:tcPr>
            <w:tcW w:type="dxa" w:w="2880"/>
            <w:shd w:fill="F8FAFC"/>
            <w:tcMar>
              <w:top w:w="100" w:type="dxa"/>
              <w:bottom w:w="100" w:type="dxa"/>
              <w:left w:w="160" w:type="dxa"/>
              <w:right w:w="160" w:type="dxa"/>
            </w:tcMar>
          </w:tcPr>
          <w:p>
            <w:pPr>
              <w:jc w:val="left"/>
            </w:pPr>
            <w:r>
              <w:rPr>
                <w:rFonts w:ascii="Calibri" w:hAnsi="Calibri"/>
                <w:color w:val="0F172A"/>
                <w:sz w:val="19"/>
              </w:rPr>
              <w:t>Ask local LLM RAG engine for evidence-backed findings.</w:t>
            </w:r>
          </w:p>
        </w:tc>
        <w:tc>
          <w:tcPr>
            <w:tcW w:type="dxa" w:w="1728"/>
            <w:shd w:fill="F8FAFC"/>
            <w:tcMar>
              <w:top w:w="100" w:type="dxa"/>
              <w:bottom w:w="100" w:type="dxa"/>
              <w:left w:w="160" w:type="dxa"/>
              <w:right w:w="160" w:type="dxa"/>
            </w:tcMar>
          </w:tcPr>
          <w:p>
            <w:pPr>
              <w:jc w:val="left"/>
            </w:pPr>
            <w:r>
              <w:rPr>
                <w:rFonts w:ascii="Calibri" w:hAnsi="Calibri"/>
                <w:color w:val="0F172A"/>
                <w:sz w:val="19"/>
              </w:rPr>
              <w:t>Uses Ollama Local Service</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UC-1.11</w:t>
            </w:r>
          </w:p>
        </w:tc>
        <w:tc>
          <w:tcPr>
            <w:tcW w:type="dxa" w:w="2160"/>
            <w:shd w:fill="FFFFFF"/>
            <w:tcMar>
              <w:top w:w="100" w:type="dxa"/>
              <w:bottom w:w="100" w:type="dxa"/>
              <w:left w:w="160" w:type="dxa"/>
              <w:right w:w="160" w:type="dxa"/>
            </w:tcMar>
          </w:tcPr>
          <w:p>
            <w:pPr>
              <w:jc w:val="left"/>
            </w:pPr>
            <w:r>
              <w:rPr>
                <w:rFonts w:ascii="Calibri" w:hAnsi="Calibri"/>
                <w:color w:val="0F172A"/>
                <w:sz w:val="19"/>
              </w:rPr>
              <w:t>Auto-Generate Working Papers</w:t>
            </w:r>
          </w:p>
        </w:tc>
        <w:tc>
          <w:tcPr>
            <w:tcW w:type="dxa" w:w="1440"/>
            <w:shd w:fill="FFFFFF"/>
            <w:tcMar>
              <w:top w:w="100" w:type="dxa"/>
              <w:bottom w:w="100" w:type="dxa"/>
              <w:left w:w="160" w:type="dxa"/>
              <w:right w:w="160" w:type="dxa"/>
            </w:tcMar>
          </w:tcPr>
          <w:p>
            <w:pPr>
              <w:jc w:val="left"/>
            </w:pPr>
            <w:r>
              <w:rPr>
                <w:rFonts w:ascii="Calibri" w:hAnsi="Calibri"/>
                <w:color w:val="0F172A"/>
                <w:sz w:val="19"/>
              </w:rPr>
              <w:t>CA / Senior</w:t>
            </w:r>
          </w:p>
        </w:tc>
        <w:tc>
          <w:tcPr>
            <w:tcW w:type="dxa" w:w="2880"/>
            <w:shd w:fill="FFFFFF"/>
            <w:tcMar>
              <w:top w:w="100" w:type="dxa"/>
              <w:bottom w:w="100" w:type="dxa"/>
              <w:left w:w="160" w:type="dxa"/>
              <w:right w:w="160" w:type="dxa"/>
            </w:tcMar>
          </w:tcPr>
          <w:p>
            <w:pPr>
              <w:jc w:val="left"/>
            </w:pPr>
            <w:r>
              <w:rPr>
                <w:rFonts w:ascii="Calibri" w:hAnsi="Calibri"/>
                <w:color w:val="0F172A"/>
                <w:sz w:val="19"/>
              </w:rPr>
              <w:t>Compile ICAI-standard working paper documentation.</w:t>
            </w:r>
          </w:p>
        </w:tc>
        <w:tc>
          <w:tcPr>
            <w:tcW w:type="dxa" w:w="1728"/>
            <w:shd w:fill="FFFFFF"/>
            <w:tcMar>
              <w:top w:w="100" w:type="dxa"/>
              <w:bottom w:w="100" w:type="dxa"/>
              <w:left w:w="160" w:type="dxa"/>
              <w:right w:w="160" w:type="dxa"/>
            </w:tcMar>
          </w:tcPr>
          <w:p>
            <w:pPr>
              <w:jc w:val="left"/>
            </w:pPr>
            <w:r>
              <w:rPr>
                <w:rFonts w:ascii="Calibri" w:hAnsi="Calibri"/>
                <w:color w:val="0F172A"/>
                <w:sz w:val="19"/>
              </w:rPr>
              <w:t>Includes Evidence Citations</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UC-1.12</w:t>
            </w:r>
          </w:p>
        </w:tc>
        <w:tc>
          <w:tcPr>
            <w:tcW w:type="dxa" w:w="2160"/>
            <w:shd w:fill="F8FAFC"/>
            <w:tcMar>
              <w:top w:w="100" w:type="dxa"/>
              <w:bottom w:w="100" w:type="dxa"/>
              <w:left w:w="160" w:type="dxa"/>
              <w:right w:w="160" w:type="dxa"/>
            </w:tcMar>
          </w:tcPr>
          <w:p>
            <w:pPr>
              <w:jc w:val="left"/>
            </w:pPr>
            <w:r>
              <w:rPr>
                <w:rFonts w:ascii="Calibri" w:hAnsi="Calibri"/>
                <w:color w:val="0F172A"/>
                <w:sz w:val="19"/>
              </w:rPr>
              <w:t>Draft &amp; Export PDF Report</w:t>
            </w:r>
          </w:p>
        </w:tc>
        <w:tc>
          <w:tcPr>
            <w:tcW w:type="dxa" w:w="1440"/>
            <w:shd w:fill="F8FAFC"/>
            <w:tcMar>
              <w:top w:w="100" w:type="dxa"/>
              <w:bottom w:w="100" w:type="dxa"/>
              <w:left w:w="160" w:type="dxa"/>
              <w:right w:w="160" w:type="dxa"/>
            </w:tcMar>
          </w:tcPr>
          <w:p>
            <w:pPr>
              <w:jc w:val="left"/>
            </w:pPr>
            <w:r>
              <w:rPr>
                <w:rFonts w:ascii="Calibri" w:hAnsi="Calibri"/>
                <w:color w:val="0F172A"/>
                <w:sz w:val="19"/>
              </w:rPr>
              <w:t>CA / Auditor</w:t>
            </w:r>
          </w:p>
        </w:tc>
        <w:tc>
          <w:tcPr>
            <w:tcW w:type="dxa" w:w="2880"/>
            <w:shd w:fill="F8FAFC"/>
            <w:tcMar>
              <w:top w:w="100" w:type="dxa"/>
              <w:bottom w:w="100" w:type="dxa"/>
              <w:left w:w="160" w:type="dxa"/>
              <w:right w:w="160" w:type="dxa"/>
            </w:tcMar>
          </w:tcPr>
          <w:p>
            <w:pPr>
              <w:jc w:val="left"/>
            </w:pPr>
            <w:r>
              <w:rPr>
                <w:rFonts w:ascii="Calibri" w:hAnsi="Calibri"/>
                <w:color w:val="0F172A"/>
                <w:sz w:val="19"/>
              </w:rPr>
              <w:t>Finalize audit opinion (Unmodified/Qualified) and export PDF.</w:t>
            </w:r>
          </w:p>
        </w:tc>
        <w:tc>
          <w:tcPr>
            <w:tcW w:type="dxa" w:w="1728"/>
            <w:shd w:fill="F8FAFC"/>
            <w:tcMar>
              <w:top w:w="100" w:type="dxa"/>
              <w:bottom w:w="100" w:type="dxa"/>
              <w:left w:w="160" w:type="dxa"/>
              <w:right w:w="160" w:type="dxa"/>
            </w:tcMar>
          </w:tcPr>
          <w:p>
            <w:pPr>
              <w:jc w:val="left"/>
            </w:pPr>
            <w:r>
              <w:rPr>
                <w:rFonts w:ascii="Calibri" w:hAnsi="Calibri"/>
                <w:color w:val="0F172A"/>
                <w:sz w:val="19"/>
              </w:rPr>
              <w:t>Includes UDIN Generation</w:t>
            </w:r>
          </w:p>
        </w:tc>
      </w:tr>
    </w:tbl>
    <w:p>
      <w:pPr>
        <w:keepNext/>
        <w:spacing w:before="280" w:after="120"/>
      </w:pPr>
      <w:r>
        <w:rPr>
          <w:rFonts w:ascii="Calibri" w:hAnsi="Calibri"/>
          <w:b/>
          <w:color w:val="2563EB"/>
          <w:sz w:val="28"/>
        </w:rPr>
        <w:t>4.2 Use Case Diagram 2: System Administration, AI Configuration &amp; Security</w:t>
      </w:r>
    </w:p>
    <w:p>
      <w:pPr>
        <w:spacing w:before="0" w:after="120" w:line="276" w:lineRule="auto"/>
      </w:pPr>
      <w:r>
        <w:rPr>
          <w:rFonts w:ascii="Calibri" w:hAnsi="Calibri"/>
          <w:color w:val="334155"/>
          <w:sz w:val="22"/>
        </w:rPr>
        <w:t>Use Case Diagram 2 models administrative, maintenance, security, and local AI configuration functions.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3A8A"/>
            <w:tcMar>
              <w:top w:w="140" w:type="dxa"/>
              <w:bottom w:w="140" w:type="dxa"/>
              <w:left w:w="180" w:type="dxa"/>
              <w:right w:w="180" w:type="dxa"/>
            </w:tcMar>
          </w:tcPr>
          <w:p>
            <w:pPr>
              <w:jc w:val="left"/>
            </w:pPr>
            <w:r>
              <w:rPr>
                <w:rFonts w:ascii="Calibri" w:hAnsi="Calibri"/>
                <w:b/>
                <w:color w:val="FFFFFF"/>
                <w:sz w:val="20"/>
              </w:rPr>
              <w:t>Use Case ID</w:t>
            </w:r>
          </w:p>
        </w:tc>
        <w:tc>
          <w:tcPr>
            <w:tcW w:type="dxa" w:w="2160"/>
            <w:shd w:fill="1E3A8A"/>
            <w:tcMar>
              <w:top w:w="140" w:type="dxa"/>
              <w:bottom w:w="140" w:type="dxa"/>
              <w:left w:w="180" w:type="dxa"/>
              <w:right w:w="180" w:type="dxa"/>
            </w:tcMar>
          </w:tcPr>
          <w:p>
            <w:pPr>
              <w:jc w:val="left"/>
            </w:pPr>
            <w:r>
              <w:rPr>
                <w:rFonts w:ascii="Calibri" w:hAnsi="Calibri"/>
                <w:b/>
                <w:color w:val="FFFFFF"/>
                <w:sz w:val="20"/>
              </w:rPr>
              <w:t>Use Case Title</w:t>
            </w:r>
          </w:p>
        </w:tc>
        <w:tc>
          <w:tcPr>
            <w:tcW w:type="dxa" w:w="1584"/>
            <w:shd w:fill="1E3A8A"/>
            <w:tcMar>
              <w:top w:w="140" w:type="dxa"/>
              <w:bottom w:w="140" w:type="dxa"/>
              <w:left w:w="180" w:type="dxa"/>
              <w:right w:w="180" w:type="dxa"/>
            </w:tcMar>
          </w:tcPr>
          <w:p>
            <w:pPr>
              <w:jc w:val="left"/>
            </w:pPr>
            <w:r>
              <w:rPr>
                <w:rFonts w:ascii="Calibri" w:hAnsi="Calibri"/>
                <w:b/>
                <w:color w:val="FFFFFF"/>
                <w:sz w:val="20"/>
              </w:rPr>
              <w:t>Primary Actor</w:t>
            </w:r>
          </w:p>
        </w:tc>
        <w:tc>
          <w:tcPr>
            <w:tcW w:type="dxa" w:w="2880"/>
            <w:shd w:fill="1E3A8A"/>
            <w:tcMar>
              <w:top w:w="140" w:type="dxa"/>
              <w:bottom w:w="140" w:type="dxa"/>
              <w:left w:w="180" w:type="dxa"/>
              <w:right w:w="180" w:type="dxa"/>
            </w:tcMar>
          </w:tcPr>
          <w:p>
            <w:pPr>
              <w:jc w:val="left"/>
            </w:pPr>
            <w:r>
              <w:rPr>
                <w:rFonts w:ascii="Calibri" w:hAnsi="Calibri"/>
                <w:b/>
                <w:color w:val="FFFFFF"/>
                <w:sz w:val="20"/>
              </w:rPr>
              <w:t>Description &amp; Goal</w:t>
            </w:r>
          </w:p>
        </w:tc>
        <w:tc>
          <w:tcPr>
            <w:tcW w:type="dxa" w:w="1584"/>
            <w:shd w:fill="1E3A8A"/>
            <w:tcMar>
              <w:top w:w="140" w:type="dxa"/>
              <w:bottom w:w="140" w:type="dxa"/>
              <w:left w:w="180" w:type="dxa"/>
              <w:right w:w="180" w:type="dxa"/>
            </w:tcMar>
          </w:tcPr>
          <w:p>
            <w:pPr>
              <w:jc w:val="left"/>
            </w:pPr>
            <w:r>
              <w:rPr>
                <w:rFonts w:ascii="Calibri" w:hAnsi="Calibri"/>
                <w:b/>
                <w:color w:val="FFFFFF"/>
                <w:sz w:val="20"/>
              </w:rPr>
              <w:t>System Actor Interaction</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UC-2.1</w:t>
            </w:r>
          </w:p>
        </w:tc>
        <w:tc>
          <w:tcPr>
            <w:tcW w:type="dxa" w:w="2160"/>
            <w:shd w:fill="FFFFFF"/>
            <w:tcMar>
              <w:top w:w="100" w:type="dxa"/>
              <w:bottom w:w="100" w:type="dxa"/>
              <w:left w:w="160" w:type="dxa"/>
              <w:right w:w="160" w:type="dxa"/>
            </w:tcMar>
          </w:tcPr>
          <w:p>
            <w:pPr>
              <w:jc w:val="left"/>
            </w:pPr>
            <w:r>
              <w:rPr>
                <w:rFonts w:ascii="Calibri" w:hAnsi="Calibri"/>
                <w:color w:val="0F172A"/>
                <w:sz w:val="19"/>
              </w:rPr>
              <w:t>Configure Theme &amp; Settings</w:t>
            </w:r>
          </w:p>
        </w:tc>
        <w:tc>
          <w:tcPr>
            <w:tcW w:type="dxa" w:w="1584"/>
            <w:shd w:fill="FFFFFF"/>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FFFFF"/>
            <w:tcMar>
              <w:top w:w="100" w:type="dxa"/>
              <w:bottom w:w="100" w:type="dxa"/>
              <w:left w:w="160" w:type="dxa"/>
              <w:right w:w="160" w:type="dxa"/>
            </w:tcMar>
          </w:tcPr>
          <w:p>
            <w:pPr>
              <w:jc w:val="left"/>
            </w:pPr>
            <w:r>
              <w:rPr>
                <w:rFonts w:ascii="Calibri" w:hAnsi="Calibri"/>
                <w:color w:val="0F172A"/>
                <w:sz w:val="19"/>
              </w:rPr>
              <w:t>Customize QSS dark/light themes, thresholds &amp; paths.</w:t>
            </w:r>
          </w:p>
        </w:tc>
        <w:tc>
          <w:tcPr>
            <w:tcW w:type="dxa" w:w="1584"/>
            <w:shd w:fill="FFFFFF"/>
            <w:tcMar>
              <w:top w:w="100" w:type="dxa"/>
              <w:bottom w:w="100" w:type="dxa"/>
              <w:left w:w="160" w:type="dxa"/>
              <w:right w:w="160" w:type="dxa"/>
            </w:tcMar>
          </w:tcPr>
          <w:p>
            <w:pPr>
              <w:jc w:val="left"/>
            </w:pPr>
            <w:r>
              <w:rPr>
                <w:rFonts w:ascii="Calibri" w:hAnsi="Calibri"/>
                <w:color w:val="0F172A"/>
                <w:sz w:val="19"/>
              </w:rPr>
              <w:t>Updates SQLite Settings</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UC-2.2</w:t>
            </w:r>
          </w:p>
        </w:tc>
        <w:tc>
          <w:tcPr>
            <w:tcW w:type="dxa" w:w="2160"/>
            <w:shd w:fill="F8FAFC"/>
            <w:tcMar>
              <w:top w:w="100" w:type="dxa"/>
              <w:bottom w:w="100" w:type="dxa"/>
              <w:left w:w="160" w:type="dxa"/>
              <w:right w:w="160" w:type="dxa"/>
            </w:tcMar>
          </w:tcPr>
          <w:p>
            <w:pPr>
              <w:jc w:val="left"/>
            </w:pPr>
            <w:r>
              <w:rPr>
                <w:rFonts w:ascii="Calibri" w:hAnsi="Calibri"/>
                <w:color w:val="0F172A"/>
                <w:sz w:val="19"/>
              </w:rPr>
              <w:t>Manage Local LLM Models</w:t>
            </w:r>
          </w:p>
        </w:tc>
        <w:tc>
          <w:tcPr>
            <w:tcW w:type="dxa" w:w="1584"/>
            <w:shd w:fill="F8FAFC"/>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8FAFC"/>
            <w:tcMar>
              <w:top w:w="100" w:type="dxa"/>
              <w:bottom w:w="100" w:type="dxa"/>
              <w:left w:w="160" w:type="dxa"/>
              <w:right w:w="160" w:type="dxa"/>
            </w:tcMar>
          </w:tcPr>
          <w:p>
            <w:pPr>
              <w:jc w:val="left"/>
            </w:pPr>
            <w:r>
              <w:rPr>
                <w:rFonts w:ascii="Calibri" w:hAnsi="Calibri"/>
                <w:color w:val="0F172A"/>
                <w:sz w:val="19"/>
              </w:rPr>
              <w:t>Pull, test, and switch between Ollama models (Qwen/Llama).</w:t>
            </w:r>
          </w:p>
        </w:tc>
        <w:tc>
          <w:tcPr>
            <w:tcW w:type="dxa" w:w="1584"/>
            <w:shd w:fill="F8FAFC"/>
            <w:tcMar>
              <w:top w:w="100" w:type="dxa"/>
              <w:bottom w:w="100" w:type="dxa"/>
              <w:left w:w="160" w:type="dxa"/>
              <w:right w:w="160" w:type="dxa"/>
            </w:tcMar>
          </w:tcPr>
          <w:p>
            <w:pPr>
              <w:jc w:val="left"/>
            </w:pPr>
            <w:r>
              <w:rPr>
                <w:rFonts w:ascii="Calibri" w:hAnsi="Calibri"/>
                <w:color w:val="0F172A"/>
                <w:sz w:val="19"/>
              </w:rPr>
              <w:t>Connects to Ollama Daemon</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UC-2.3</w:t>
            </w:r>
          </w:p>
        </w:tc>
        <w:tc>
          <w:tcPr>
            <w:tcW w:type="dxa" w:w="2160"/>
            <w:shd w:fill="FFFFFF"/>
            <w:tcMar>
              <w:top w:w="100" w:type="dxa"/>
              <w:bottom w:w="100" w:type="dxa"/>
              <w:left w:w="160" w:type="dxa"/>
              <w:right w:w="160" w:type="dxa"/>
            </w:tcMar>
          </w:tcPr>
          <w:p>
            <w:pPr>
              <w:jc w:val="left"/>
            </w:pPr>
            <w:r>
              <w:rPr>
                <w:rFonts w:ascii="Calibri" w:hAnsi="Calibri"/>
                <w:color w:val="0F172A"/>
                <w:sz w:val="19"/>
              </w:rPr>
              <w:t>Rebuild FAISS Vector Index</w:t>
            </w:r>
          </w:p>
        </w:tc>
        <w:tc>
          <w:tcPr>
            <w:tcW w:type="dxa" w:w="1584"/>
            <w:shd w:fill="FFFFFF"/>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FFFFF"/>
            <w:tcMar>
              <w:top w:w="100" w:type="dxa"/>
              <w:bottom w:w="100" w:type="dxa"/>
              <w:left w:w="160" w:type="dxa"/>
              <w:right w:w="160" w:type="dxa"/>
            </w:tcMar>
          </w:tcPr>
          <w:p>
            <w:pPr>
              <w:jc w:val="left"/>
            </w:pPr>
            <w:r>
              <w:rPr>
                <w:rFonts w:ascii="Calibri" w:hAnsi="Calibri"/>
                <w:color w:val="0F172A"/>
                <w:sz w:val="19"/>
              </w:rPr>
              <w:t>Re-chunk and re-embed document corpus into FAISS.</w:t>
            </w:r>
          </w:p>
        </w:tc>
        <w:tc>
          <w:tcPr>
            <w:tcW w:type="dxa" w:w="1584"/>
            <w:shd w:fill="FFFFFF"/>
            <w:tcMar>
              <w:top w:w="100" w:type="dxa"/>
              <w:bottom w:w="100" w:type="dxa"/>
              <w:left w:w="160" w:type="dxa"/>
              <w:right w:w="160" w:type="dxa"/>
            </w:tcMar>
          </w:tcPr>
          <w:p>
            <w:pPr>
              <w:jc w:val="left"/>
            </w:pPr>
            <w:r>
              <w:rPr>
                <w:rFonts w:ascii="Calibri" w:hAnsi="Calibri"/>
                <w:color w:val="0F172A"/>
                <w:sz w:val="19"/>
              </w:rPr>
              <w:t>Updates FAISS Index File</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UC-2.4</w:t>
            </w:r>
          </w:p>
        </w:tc>
        <w:tc>
          <w:tcPr>
            <w:tcW w:type="dxa" w:w="2160"/>
            <w:shd w:fill="F8FAFC"/>
            <w:tcMar>
              <w:top w:w="100" w:type="dxa"/>
              <w:bottom w:w="100" w:type="dxa"/>
              <w:left w:w="160" w:type="dxa"/>
              <w:right w:w="160" w:type="dxa"/>
            </w:tcMar>
          </w:tcPr>
          <w:p>
            <w:pPr>
              <w:jc w:val="left"/>
            </w:pPr>
            <w:r>
              <w:rPr>
                <w:rFonts w:ascii="Calibri" w:hAnsi="Calibri"/>
                <w:color w:val="0F172A"/>
                <w:sz w:val="19"/>
              </w:rPr>
              <w:t>Manage Audit Rule Thresholds</w:t>
            </w:r>
          </w:p>
        </w:tc>
        <w:tc>
          <w:tcPr>
            <w:tcW w:type="dxa" w:w="1584"/>
            <w:shd w:fill="F8FAFC"/>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8FAFC"/>
            <w:tcMar>
              <w:top w:w="100" w:type="dxa"/>
              <w:bottom w:w="100" w:type="dxa"/>
              <w:left w:w="160" w:type="dxa"/>
              <w:right w:w="160" w:type="dxa"/>
            </w:tcMar>
          </w:tcPr>
          <w:p>
            <w:pPr>
              <w:jc w:val="left"/>
            </w:pPr>
            <w:r>
              <w:rPr>
                <w:rFonts w:ascii="Calibri" w:hAnsi="Calibri"/>
                <w:color w:val="0F172A"/>
                <w:sz w:val="19"/>
              </w:rPr>
              <w:t>Modify cash payment limits, materiality &amp; risk weights.</w:t>
            </w:r>
          </w:p>
        </w:tc>
        <w:tc>
          <w:tcPr>
            <w:tcW w:type="dxa" w:w="1584"/>
            <w:shd w:fill="F8FAFC"/>
            <w:tcMar>
              <w:top w:w="100" w:type="dxa"/>
              <w:bottom w:w="100" w:type="dxa"/>
              <w:left w:w="160" w:type="dxa"/>
              <w:right w:w="160" w:type="dxa"/>
            </w:tcMar>
          </w:tcPr>
          <w:p>
            <w:pPr>
              <w:jc w:val="left"/>
            </w:pPr>
            <w:r>
              <w:rPr>
                <w:rFonts w:ascii="Calibri" w:hAnsi="Calibri"/>
                <w:color w:val="0F172A"/>
                <w:sz w:val="19"/>
              </w:rPr>
              <w:t>Updates Rule Config Store</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UC-2.5</w:t>
            </w:r>
          </w:p>
        </w:tc>
        <w:tc>
          <w:tcPr>
            <w:tcW w:type="dxa" w:w="2160"/>
            <w:shd w:fill="FFFFFF"/>
            <w:tcMar>
              <w:top w:w="100" w:type="dxa"/>
              <w:bottom w:w="100" w:type="dxa"/>
              <w:left w:w="160" w:type="dxa"/>
              <w:right w:w="160" w:type="dxa"/>
            </w:tcMar>
          </w:tcPr>
          <w:p>
            <w:pPr>
              <w:jc w:val="left"/>
            </w:pPr>
            <w:r>
              <w:rPr>
                <w:rFonts w:ascii="Calibri" w:hAnsi="Calibri"/>
                <w:color w:val="0F172A"/>
                <w:sz w:val="19"/>
              </w:rPr>
              <w:t>View Audit Trail Logs</w:t>
            </w:r>
          </w:p>
        </w:tc>
        <w:tc>
          <w:tcPr>
            <w:tcW w:type="dxa" w:w="1584"/>
            <w:shd w:fill="FFFFFF"/>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FFFFF"/>
            <w:tcMar>
              <w:top w:w="100" w:type="dxa"/>
              <w:bottom w:w="100" w:type="dxa"/>
              <w:left w:w="160" w:type="dxa"/>
              <w:right w:w="160" w:type="dxa"/>
            </w:tcMar>
          </w:tcPr>
          <w:p>
            <w:pPr>
              <w:jc w:val="left"/>
            </w:pPr>
            <w:r>
              <w:rPr>
                <w:rFonts w:ascii="Calibri" w:hAnsi="Calibri"/>
                <w:color w:val="0F172A"/>
                <w:sz w:val="19"/>
              </w:rPr>
              <w:t>Inspect immutable SHA-256 hash-chained security log.</w:t>
            </w:r>
          </w:p>
        </w:tc>
        <w:tc>
          <w:tcPr>
            <w:tcW w:type="dxa" w:w="1584"/>
            <w:shd w:fill="FFFFFF"/>
            <w:tcMar>
              <w:top w:w="100" w:type="dxa"/>
              <w:bottom w:w="100" w:type="dxa"/>
              <w:left w:w="160" w:type="dxa"/>
              <w:right w:w="160" w:type="dxa"/>
            </w:tcMar>
          </w:tcPr>
          <w:p>
            <w:pPr>
              <w:jc w:val="left"/>
            </w:pPr>
            <w:r>
              <w:rPr>
                <w:rFonts w:ascii="Calibri" w:hAnsi="Calibri"/>
                <w:color w:val="0F172A"/>
                <w:sz w:val="19"/>
              </w:rPr>
              <w:t>Reads Audit Log Ledger</w:t>
            </w:r>
          </w:p>
        </w:tc>
      </w:tr>
      <w:tr>
        <w:tc>
          <w:tcPr>
            <w:tcW w:type="dxa" w:w="1152"/>
            <w:shd w:fill="F8FAFC"/>
            <w:tcMar>
              <w:top w:w="100" w:type="dxa"/>
              <w:bottom w:w="100" w:type="dxa"/>
              <w:left w:w="160" w:type="dxa"/>
              <w:right w:w="160" w:type="dxa"/>
            </w:tcMar>
          </w:tcPr>
          <w:p>
            <w:pPr>
              <w:jc w:val="left"/>
            </w:pPr>
            <w:r>
              <w:rPr>
                <w:rFonts w:ascii="Calibri" w:hAnsi="Calibri"/>
                <w:color w:val="0F172A"/>
                <w:sz w:val="19"/>
              </w:rPr>
              <w:t>UC-2.6</w:t>
            </w:r>
          </w:p>
        </w:tc>
        <w:tc>
          <w:tcPr>
            <w:tcW w:type="dxa" w:w="2160"/>
            <w:shd w:fill="F8FAFC"/>
            <w:tcMar>
              <w:top w:w="100" w:type="dxa"/>
              <w:bottom w:w="100" w:type="dxa"/>
              <w:left w:w="160" w:type="dxa"/>
              <w:right w:w="160" w:type="dxa"/>
            </w:tcMar>
          </w:tcPr>
          <w:p>
            <w:pPr>
              <w:jc w:val="left"/>
            </w:pPr>
            <w:r>
              <w:rPr>
                <w:rFonts w:ascii="Calibri" w:hAnsi="Calibri"/>
                <w:color w:val="0F172A"/>
                <w:sz w:val="19"/>
              </w:rPr>
              <w:t>Perform Local DB Backup</w:t>
            </w:r>
          </w:p>
        </w:tc>
        <w:tc>
          <w:tcPr>
            <w:tcW w:type="dxa" w:w="1584"/>
            <w:shd w:fill="F8FAFC"/>
            <w:tcMar>
              <w:top w:w="100" w:type="dxa"/>
              <w:bottom w:w="100" w:type="dxa"/>
              <w:left w:w="160" w:type="dxa"/>
              <w:right w:w="160" w:type="dxa"/>
            </w:tcMar>
          </w:tcPr>
          <w:p>
            <w:pPr>
              <w:jc w:val="left"/>
            </w:pPr>
            <w:r>
              <w:rPr>
                <w:rFonts w:ascii="Calibri" w:hAnsi="Calibri"/>
                <w:color w:val="0F172A"/>
                <w:sz w:val="19"/>
              </w:rPr>
              <w:t>System Administrator</w:t>
            </w:r>
          </w:p>
        </w:tc>
        <w:tc>
          <w:tcPr>
            <w:tcW w:type="dxa" w:w="2880"/>
            <w:shd w:fill="F8FAFC"/>
            <w:tcMar>
              <w:top w:w="100" w:type="dxa"/>
              <w:bottom w:w="100" w:type="dxa"/>
              <w:left w:w="160" w:type="dxa"/>
              <w:right w:w="160" w:type="dxa"/>
            </w:tcMar>
          </w:tcPr>
          <w:p>
            <w:pPr>
              <w:jc w:val="left"/>
            </w:pPr>
            <w:r>
              <w:rPr>
                <w:rFonts w:ascii="Calibri" w:hAnsi="Calibri"/>
                <w:color w:val="0F172A"/>
                <w:sz w:val="19"/>
              </w:rPr>
              <w:t>Create encrypted zip backup of SQLite DB &amp; Vector stores.</w:t>
            </w:r>
          </w:p>
        </w:tc>
        <w:tc>
          <w:tcPr>
            <w:tcW w:type="dxa" w:w="1584"/>
            <w:shd w:fill="F8FAFC"/>
            <w:tcMar>
              <w:top w:w="100" w:type="dxa"/>
              <w:bottom w:w="100" w:type="dxa"/>
              <w:left w:w="160" w:type="dxa"/>
              <w:right w:w="160" w:type="dxa"/>
            </w:tcMar>
          </w:tcPr>
          <w:p>
            <w:pPr>
              <w:jc w:val="left"/>
            </w:pPr>
            <w:r>
              <w:rPr>
                <w:rFonts w:ascii="Calibri" w:hAnsi="Calibri"/>
                <w:color w:val="0F172A"/>
                <w:sz w:val="19"/>
              </w:rPr>
              <w:t>Executes Local Storage I/O</w:t>
            </w:r>
          </w:p>
        </w:tc>
      </w:tr>
      <w:tr>
        <w:tc>
          <w:tcPr>
            <w:tcW w:type="dxa" w:w="1152"/>
            <w:shd w:fill="FFFFFF"/>
            <w:tcMar>
              <w:top w:w="100" w:type="dxa"/>
              <w:bottom w:w="100" w:type="dxa"/>
              <w:left w:w="160" w:type="dxa"/>
              <w:right w:w="160" w:type="dxa"/>
            </w:tcMar>
          </w:tcPr>
          <w:p>
            <w:pPr>
              <w:jc w:val="left"/>
            </w:pPr>
            <w:r>
              <w:rPr>
                <w:rFonts w:ascii="Calibri" w:hAnsi="Calibri"/>
                <w:color w:val="0F172A"/>
                <w:sz w:val="19"/>
              </w:rPr>
              <w:t>UC-2.7</w:t>
            </w:r>
          </w:p>
        </w:tc>
        <w:tc>
          <w:tcPr>
            <w:tcW w:type="dxa" w:w="2160"/>
            <w:shd w:fill="FFFFFF"/>
            <w:tcMar>
              <w:top w:w="100" w:type="dxa"/>
              <w:bottom w:w="100" w:type="dxa"/>
              <w:left w:w="160" w:type="dxa"/>
              <w:right w:w="160" w:type="dxa"/>
            </w:tcMar>
          </w:tcPr>
          <w:p>
            <w:pPr>
              <w:jc w:val="left"/>
            </w:pPr>
            <w:r>
              <w:rPr>
                <w:rFonts w:ascii="Calibri" w:hAnsi="Calibri"/>
                <w:color w:val="0F172A"/>
                <w:sz w:val="19"/>
              </w:rPr>
              <w:t>Enforce AES-256 Encryption</w:t>
            </w:r>
          </w:p>
        </w:tc>
        <w:tc>
          <w:tcPr>
            <w:tcW w:type="dxa" w:w="1584"/>
            <w:shd w:fill="FFFFFF"/>
            <w:tcMar>
              <w:top w:w="100" w:type="dxa"/>
              <w:bottom w:w="100" w:type="dxa"/>
              <w:left w:w="160" w:type="dxa"/>
              <w:right w:w="160" w:type="dxa"/>
            </w:tcMar>
          </w:tcPr>
          <w:p>
            <w:pPr>
              <w:jc w:val="left"/>
            </w:pPr>
            <w:r>
              <w:rPr>
                <w:rFonts w:ascii="Calibri" w:hAnsi="Calibri"/>
                <w:color w:val="0F172A"/>
                <w:sz w:val="19"/>
              </w:rPr>
              <w:t>System (Auto)</w:t>
            </w:r>
          </w:p>
        </w:tc>
        <w:tc>
          <w:tcPr>
            <w:tcW w:type="dxa" w:w="2880"/>
            <w:shd w:fill="FFFFFF"/>
            <w:tcMar>
              <w:top w:w="100" w:type="dxa"/>
              <w:bottom w:w="100" w:type="dxa"/>
              <w:left w:w="160" w:type="dxa"/>
              <w:right w:w="160" w:type="dxa"/>
            </w:tcMar>
          </w:tcPr>
          <w:p>
            <w:pPr>
              <w:jc w:val="left"/>
            </w:pPr>
            <w:r>
              <w:rPr>
                <w:rFonts w:ascii="Calibri" w:hAnsi="Calibri"/>
                <w:color w:val="0F172A"/>
                <w:sz w:val="19"/>
              </w:rPr>
              <w:t>Encrypt client files and DB tables on local disk.</w:t>
            </w:r>
          </w:p>
        </w:tc>
        <w:tc>
          <w:tcPr>
            <w:tcW w:type="dxa" w:w="1584"/>
            <w:shd w:fill="FFFFFF"/>
            <w:tcMar>
              <w:top w:w="100" w:type="dxa"/>
              <w:bottom w:w="100" w:type="dxa"/>
              <w:left w:w="160" w:type="dxa"/>
              <w:right w:w="160" w:type="dxa"/>
            </w:tcMar>
          </w:tcPr>
          <w:p>
            <w:pPr>
              <w:jc w:val="left"/>
            </w:pPr>
            <w:r>
              <w:rPr>
                <w:rFonts w:ascii="Calibri" w:hAnsi="Calibri"/>
                <w:color w:val="0F172A"/>
                <w:sz w:val="19"/>
              </w:rPr>
              <w:t>Executes Cryptography API</w:t>
            </w:r>
          </w:p>
        </w:tc>
      </w:tr>
    </w:tbl>
    <w:p>
      <w:r>
        <w:br w:type="page"/>
      </w:r>
    </w:p>
    <w:p>
      <w:pPr>
        <w:keepNext/>
        <w:spacing w:before="360" w:after="160"/>
      </w:pPr>
      <w:r>
        <w:rPr>
          <w:rFonts w:ascii="Calibri" w:hAnsi="Calibri"/>
          <w:b/>
          <w:color w:val="1E3A8A"/>
          <w:sz w:val="36"/>
        </w:rPr>
        <w:t>5. Deployment Diagram</w:t>
      </w:r>
    </w:p>
    <w:p>
      <w:pPr>
        <w:spacing w:before="0" w:after="120" w:line="276" w:lineRule="auto"/>
      </w:pPr>
      <w:r>
        <w:rPr>
          <w:rFonts w:ascii="Calibri" w:hAnsi="Calibri"/>
          <w:color w:val="334155"/>
          <w:sz w:val="22"/>
        </w:rPr>
        <w:t>The Deployment Diagram illustrates the physical deployment topology of FinAuditPro on a practitioner's workstation. It demonstrates how desktop GUI binaries, embedded SQLite storage, FAISS vector indices, and local Ollama AI daemons interact within an isolated, offline environment.</w:t>
      </w:r>
    </w:p>
    <w:p>
      <w:pPr>
        <w:keepNext/>
        <w:spacing w:before="280" w:after="120"/>
      </w:pPr>
      <w:r>
        <w:rPr>
          <w:rFonts w:ascii="Calibri" w:hAnsi="Calibri"/>
          <w:b/>
          <w:color w:val="2563EB"/>
          <w:sz w:val="28"/>
        </w:rPr>
        <w:t>5.1 Physical Node Breakdown</w:t>
      </w:r>
    </w:p>
    <w:p>
      <w:pPr>
        <w:keepNext/>
        <w:spacing w:before="200" w:after="80"/>
      </w:pPr>
      <w:r>
        <w:rPr>
          <w:rFonts w:ascii="Calibri" w:hAnsi="Calibri"/>
          <w:b/>
          <w:color w:val="334155"/>
          <w:sz w:val="24"/>
        </w:rPr>
        <w:t>Node 1: Device Node - Client Workstation PC</w:t>
      </w:r>
    </w:p>
    <w:p>
      <w:pPr>
        <w:pStyle w:val="ListBullet"/>
        <w:spacing w:before="0" w:after="80" w:line="276" w:lineRule="auto"/>
        <w:ind w:left="360"/>
      </w:pPr>
      <w:r>
        <w:rPr>
          <w:rFonts w:ascii="Calibri" w:hAnsi="Calibri"/>
          <w:b/>
          <w:color w:val="0F172A"/>
          <w:sz w:val="21"/>
        </w:rPr>
        <w:t xml:space="preserve">Hardware Platform: </w:t>
      </w:r>
      <w:r>
        <w:rPr>
          <w:rFonts w:ascii="Calibri" w:hAnsi="Calibri"/>
          <w:color w:val="334155"/>
          <w:sz w:val="21"/>
        </w:rPr>
        <w:t>Represents the physical laptop or desktop computer running Windows 10/11, macOS, or Linux.</w:t>
      </w:r>
    </w:p>
    <w:p>
      <w:pPr>
        <w:pStyle w:val="ListBullet"/>
        <w:spacing w:before="0" w:after="80" w:line="276" w:lineRule="auto"/>
        <w:ind w:left="360"/>
      </w:pPr>
      <w:r>
        <w:rPr>
          <w:rFonts w:ascii="Calibri" w:hAnsi="Calibri"/>
          <w:b/>
          <w:color w:val="0F172A"/>
          <w:sz w:val="21"/>
        </w:rPr>
        <w:t xml:space="preserve">Execution Environment: </w:t>
      </w:r>
      <w:r>
        <w:rPr>
          <w:rFonts w:ascii="Calibri" w:hAnsi="Calibri"/>
          <w:color w:val="334155"/>
          <w:sz w:val="21"/>
        </w:rPr>
        <w:t>Python 3.10 Runtime executing PySide6 (Qt 6) application binary package (FinAuditPro.exe).</w:t>
      </w:r>
    </w:p>
    <w:p>
      <w:pPr>
        <w:pStyle w:val="ListBullet"/>
        <w:spacing w:before="0" w:after="80" w:line="276" w:lineRule="auto"/>
        <w:ind w:left="360"/>
      </w:pPr>
      <w:r>
        <w:rPr>
          <w:rFonts w:ascii="Calibri" w:hAnsi="Calibri"/>
          <w:b/>
          <w:color w:val="0F172A"/>
          <w:sz w:val="21"/>
        </w:rPr>
        <w:t xml:space="preserve">Internal Artifacts: </w:t>
      </w:r>
      <w:r>
        <w:rPr>
          <w:rFonts w:ascii="Calibri" w:hAnsi="Calibri"/>
          <w:color w:val="334155"/>
          <w:sz w:val="21"/>
        </w:rPr>
        <w:t>Houses UI View Controllers, Service Business Logic, Document OCR Engine, and Rule Execution Engines.</w:t>
      </w:r>
    </w:p>
    <w:p>
      <w:pPr>
        <w:keepNext/>
        <w:spacing w:before="200" w:after="80"/>
      </w:pPr>
      <w:r>
        <w:rPr>
          <w:rFonts w:ascii="Calibri" w:hAnsi="Calibri"/>
          <w:b/>
          <w:color w:val="334155"/>
          <w:sz w:val="24"/>
        </w:rPr>
        <w:t>Node 2: Storage Node - Local Disk Repository</w:t>
      </w:r>
    </w:p>
    <w:p>
      <w:pPr>
        <w:pStyle w:val="ListBullet"/>
        <w:spacing w:before="0" w:after="80" w:line="276" w:lineRule="auto"/>
        <w:ind w:left="360"/>
      </w:pPr>
      <w:r>
        <w:rPr>
          <w:rFonts w:ascii="Calibri" w:hAnsi="Calibri"/>
          <w:b/>
          <w:color w:val="0F172A"/>
          <w:sz w:val="21"/>
        </w:rPr>
        <w:t xml:space="preserve">SQLite Database File: </w:t>
      </w:r>
      <w:r>
        <w:rPr>
          <w:rFonts w:ascii="Calibri" w:hAnsi="Calibri"/>
          <w:color w:val="334155"/>
          <w:sz w:val="21"/>
        </w:rPr>
        <w:t>Embedded transactional database finauditpro.db executing with Write-Ahead Logging (WAL) mode for concurrency.</w:t>
      </w:r>
    </w:p>
    <w:p>
      <w:pPr>
        <w:pStyle w:val="ListBullet"/>
        <w:spacing w:before="0" w:after="80" w:line="276" w:lineRule="auto"/>
        <w:ind w:left="360"/>
      </w:pPr>
      <w:r>
        <w:rPr>
          <w:rFonts w:ascii="Calibri" w:hAnsi="Calibri"/>
          <w:b/>
          <w:color w:val="0F172A"/>
          <w:sz w:val="21"/>
        </w:rPr>
        <w:t xml:space="preserve">FAISS Vector Index: </w:t>
      </w:r>
      <w:r>
        <w:rPr>
          <w:rFonts w:ascii="Calibri" w:hAnsi="Calibri"/>
          <w:color w:val="334155"/>
          <w:sz w:val="21"/>
        </w:rPr>
        <w:t>Local FAISS vector store index file (vector_store.idx) containing 384-dim semantic embeddings.</w:t>
      </w:r>
    </w:p>
    <w:p>
      <w:pPr>
        <w:pStyle w:val="ListBullet"/>
        <w:spacing w:before="0" w:after="80" w:line="276" w:lineRule="auto"/>
        <w:ind w:left="360"/>
      </w:pPr>
      <w:r>
        <w:rPr>
          <w:rFonts w:ascii="Calibri" w:hAnsi="Calibri"/>
          <w:b/>
          <w:color w:val="0F172A"/>
          <w:sz w:val="21"/>
        </w:rPr>
        <w:t xml:space="preserve">Encrypted Document Vault: </w:t>
      </w:r>
      <w:r>
        <w:rPr>
          <w:rFonts w:ascii="Calibri" w:hAnsi="Calibri"/>
          <w:color w:val="334155"/>
          <w:sz w:val="21"/>
        </w:rPr>
        <w:t>AES-256 encrypted storage directory (/data/documents/) storing ingested vouchers and invoices.</w:t>
      </w:r>
    </w:p>
    <w:p>
      <w:pPr>
        <w:keepNext/>
        <w:spacing w:before="200" w:after="80"/>
      </w:pPr>
      <w:r>
        <w:rPr>
          <w:rFonts w:ascii="Calibri" w:hAnsi="Calibri"/>
          <w:b/>
          <w:color w:val="334155"/>
          <w:sz w:val="24"/>
        </w:rPr>
        <w:t>Node 3: AI Node - Offline Local AI Service Daemon</w:t>
      </w:r>
    </w:p>
    <w:p>
      <w:pPr>
        <w:pStyle w:val="ListBullet"/>
        <w:spacing w:before="0" w:after="80" w:line="276" w:lineRule="auto"/>
        <w:ind w:left="360"/>
      </w:pPr>
      <w:r>
        <w:rPr>
          <w:rFonts w:ascii="Calibri" w:hAnsi="Calibri"/>
          <w:b/>
          <w:color w:val="0F172A"/>
          <w:sz w:val="21"/>
        </w:rPr>
        <w:t xml:space="preserve">Ollama Service Daemon: </w:t>
      </w:r>
      <w:r>
        <w:rPr>
          <w:rFonts w:ascii="Calibri" w:hAnsi="Calibri"/>
          <w:color w:val="334155"/>
          <w:sz w:val="21"/>
        </w:rPr>
        <w:t>Background daemon process listening exclusively on local loopback interface (http://127.0.0.1:11434).</w:t>
      </w:r>
    </w:p>
    <w:p>
      <w:pPr>
        <w:pStyle w:val="ListBullet"/>
        <w:spacing w:before="0" w:after="80" w:line="276" w:lineRule="auto"/>
        <w:ind w:left="360"/>
      </w:pPr>
      <w:r>
        <w:rPr>
          <w:rFonts w:ascii="Calibri" w:hAnsi="Calibri"/>
          <w:b/>
          <w:color w:val="0F172A"/>
          <w:sz w:val="21"/>
        </w:rPr>
        <w:t xml:space="preserve">Model Weights Store: </w:t>
      </w:r>
      <w:r>
        <w:rPr>
          <w:rFonts w:ascii="Calibri" w:hAnsi="Calibri"/>
          <w:color w:val="334155"/>
          <w:sz w:val="21"/>
        </w:rPr>
        <w:t>Stores quantized GGUF model weights (qwen2.5-coder:7b or llama3.2:3b) on local disk.</w:t>
      </w:r>
    </w:p>
    <w:p>
      <w:pPr>
        <w:keepNext/>
        <w:spacing w:before="280" w:after="120"/>
      </w:pPr>
      <w:r>
        <w:rPr>
          <w:rFonts w:ascii="Calibri" w:hAnsi="Calibri"/>
          <w:b/>
          <w:color w:val="2563EB"/>
          <w:sz w:val="28"/>
        </w:rPr>
        <w:t>5.2 Communication Protocols &amp; Component Mapping</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Mar>
              <w:top w:w="140" w:type="dxa"/>
              <w:bottom w:w="140" w:type="dxa"/>
              <w:left w:w="180" w:type="dxa"/>
              <w:right w:w="180" w:type="dxa"/>
            </w:tcMar>
          </w:tcPr>
          <w:p>
            <w:pPr>
              <w:jc w:val="left"/>
            </w:pPr>
            <w:r>
              <w:rPr>
                <w:rFonts w:ascii="Calibri" w:hAnsi="Calibri"/>
                <w:b/>
                <w:color w:val="FFFFFF"/>
                <w:sz w:val="20"/>
              </w:rPr>
              <w:t>Source Node / Component</w:t>
            </w:r>
          </w:p>
        </w:tc>
        <w:tc>
          <w:tcPr>
            <w:tcW w:type="dxa" w:w="2304"/>
            <w:shd w:fill="1E3A8A"/>
            <w:tcMar>
              <w:top w:w="140" w:type="dxa"/>
              <w:bottom w:w="140" w:type="dxa"/>
              <w:left w:w="180" w:type="dxa"/>
              <w:right w:w="180" w:type="dxa"/>
            </w:tcMar>
          </w:tcPr>
          <w:p>
            <w:pPr>
              <w:jc w:val="left"/>
            </w:pPr>
            <w:r>
              <w:rPr>
                <w:rFonts w:ascii="Calibri" w:hAnsi="Calibri"/>
                <w:b/>
                <w:color w:val="FFFFFF"/>
                <w:sz w:val="20"/>
              </w:rPr>
              <w:t>Destination Node / Component</w:t>
            </w:r>
          </w:p>
        </w:tc>
        <w:tc>
          <w:tcPr>
            <w:tcW w:type="dxa" w:w="2304"/>
            <w:shd w:fill="1E3A8A"/>
            <w:tcMar>
              <w:top w:w="140" w:type="dxa"/>
              <w:bottom w:w="140" w:type="dxa"/>
              <w:left w:w="180" w:type="dxa"/>
              <w:right w:w="180" w:type="dxa"/>
            </w:tcMar>
          </w:tcPr>
          <w:p>
            <w:pPr>
              <w:jc w:val="left"/>
            </w:pPr>
            <w:r>
              <w:rPr>
                <w:rFonts w:ascii="Calibri" w:hAnsi="Calibri"/>
                <w:b/>
                <w:color w:val="FFFFFF"/>
                <w:sz w:val="20"/>
              </w:rPr>
              <w:t>Communication Protocol</w:t>
            </w:r>
          </w:p>
        </w:tc>
        <w:tc>
          <w:tcPr>
            <w:tcW w:type="dxa" w:w="2448"/>
            <w:shd w:fill="1E3A8A"/>
            <w:tcMar>
              <w:top w:w="140" w:type="dxa"/>
              <w:bottom w:w="140" w:type="dxa"/>
              <w:left w:w="180" w:type="dxa"/>
              <w:right w:w="180" w:type="dxa"/>
            </w:tcMar>
          </w:tcPr>
          <w:p>
            <w:pPr>
              <w:jc w:val="left"/>
            </w:pPr>
            <w:r>
              <w:rPr>
                <w:rFonts w:ascii="Calibri" w:hAnsi="Calibri"/>
                <w:b/>
                <w:color w:val="FFFFFF"/>
                <w:sz w:val="20"/>
              </w:rPr>
              <w:t>Data Payload Exchanged</w:t>
            </w:r>
          </w:p>
        </w:tc>
      </w:tr>
      <w:tr>
        <w:tc>
          <w:tcPr>
            <w:tcW w:type="dxa" w:w="2304"/>
            <w:shd w:fill="FFFFFF"/>
            <w:tcMar>
              <w:top w:w="100" w:type="dxa"/>
              <w:bottom w:w="100" w:type="dxa"/>
              <w:left w:w="160" w:type="dxa"/>
              <w:right w:w="160" w:type="dxa"/>
            </w:tcMar>
          </w:tcPr>
          <w:p>
            <w:pPr>
              <w:jc w:val="left"/>
            </w:pPr>
            <w:r>
              <w:rPr>
                <w:rFonts w:ascii="Calibri" w:hAnsi="Calibri"/>
                <w:color w:val="0F172A"/>
                <w:sz w:val="19"/>
              </w:rPr>
              <w:t>PySide6 Desktop Application</w:t>
            </w:r>
          </w:p>
        </w:tc>
        <w:tc>
          <w:tcPr>
            <w:tcW w:type="dxa" w:w="2304"/>
            <w:shd w:fill="FFFFFF"/>
            <w:tcMar>
              <w:top w:w="100" w:type="dxa"/>
              <w:bottom w:w="100" w:type="dxa"/>
              <w:left w:w="160" w:type="dxa"/>
              <w:right w:w="160" w:type="dxa"/>
            </w:tcMar>
          </w:tcPr>
          <w:p>
            <w:pPr>
              <w:jc w:val="left"/>
            </w:pPr>
            <w:r>
              <w:rPr>
                <w:rFonts w:ascii="Calibri" w:hAnsi="Calibri"/>
                <w:color w:val="0F172A"/>
                <w:sz w:val="19"/>
              </w:rPr>
              <w:t>SQLite DB (finauditpro.db)</w:t>
            </w:r>
          </w:p>
        </w:tc>
        <w:tc>
          <w:tcPr>
            <w:tcW w:type="dxa" w:w="2304"/>
            <w:shd w:fill="FFFFFF"/>
            <w:tcMar>
              <w:top w:w="100" w:type="dxa"/>
              <w:bottom w:w="100" w:type="dxa"/>
              <w:left w:w="160" w:type="dxa"/>
              <w:right w:w="160" w:type="dxa"/>
            </w:tcMar>
          </w:tcPr>
          <w:p>
            <w:pPr>
              <w:jc w:val="left"/>
            </w:pPr>
            <w:r>
              <w:rPr>
                <w:rFonts w:ascii="Calibri" w:hAnsi="Calibri"/>
                <w:color w:val="0F172A"/>
                <w:sz w:val="19"/>
              </w:rPr>
              <w:t>In-Process C-API / SQLAlchemy ORM</w:t>
            </w:r>
          </w:p>
        </w:tc>
        <w:tc>
          <w:tcPr>
            <w:tcW w:type="dxa" w:w="2448"/>
            <w:shd w:fill="FFFFFF"/>
            <w:tcMar>
              <w:top w:w="100" w:type="dxa"/>
              <w:bottom w:w="100" w:type="dxa"/>
              <w:left w:w="160" w:type="dxa"/>
              <w:right w:w="160" w:type="dxa"/>
            </w:tcMar>
          </w:tcPr>
          <w:p>
            <w:pPr>
              <w:jc w:val="left"/>
            </w:pPr>
            <w:r>
              <w:rPr>
                <w:rFonts w:ascii="Calibri" w:hAnsi="Calibri"/>
                <w:color w:val="0F172A"/>
                <w:sz w:val="19"/>
              </w:rPr>
              <w:t>Client Profiles, Engagements, Risk Findings, Audit Logs</w:t>
            </w:r>
          </w:p>
        </w:tc>
      </w:tr>
      <w:tr>
        <w:tc>
          <w:tcPr>
            <w:tcW w:type="dxa" w:w="2304"/>
            <w:shd w:fill="F8FAFC"/>
            <w:tcMar>
              <w:top w:w="100" w:type="dxa"/>
              <w:bottom w:w="100" w:type="dxa"/>
              <w:left w:w="160" w:type="dxa"/>
              <w:right w:w="160" w:type="dxa"/>
            </w:tcMar>
          </w:tcPr>
          <w:p>
            <w:pPr>
              <w:jc w:val="left"/>
            </w:pPr>
            <w:r>
              <w:rPr>
                <w:rFonts w:ascii="Calibri" w:hAnsi="Calibri"/>
                <w:color w:val="0F172A"/>
                <w:sz w:val="19"/>
              </w:rPr>
              <w:t>PySide6 Desktop Application</w:t>
            </w:r>
          </w:p>
        </w:tc>
        <w:tc>
          <w:tcPr>
            <w:tcW w:type="dxa" w:w="2304"/>
            <w:shd w:fill="F8FAFC"/>
            <w:tcMar>
              <w:top w:w="100" w:type="dxa"/>
              <w:bottom w:w="100" w:type="dxa"/>
              <w:left w:w="160" w:type="dxa"/>
              <w:right w:w="160" w:type="dxa"/>
            </w:tcMar>
          </w:tcPr>
          <w:p>
            <w:pPr>
              <w:jc w:val="left"/>
            </w:pPr>
            <w:r>
              <w:rPr>
                <w:rFonts w:ascii="Calibri" w:hAnsi="Calibri"/>
                <w:color w:val="0F172A"/>
                <w:sz w:val="19"/>
              </w:rPr>
              <w:t>FAISS Index (vector_store.idx)</w:t>
            </w:r>
          </w:p>
        </w:tc>
        <w:tc>
          <w:tcPr>
            <w:tcW w:type="dxa" w:w="2304"/>
            <w:shd w:fill="F8FAFC"/>
            <w:tcMar>
              <w:top w:w="100" w:type="dxa"/>
              <w:bottom w:w="100" w:type="dxa"/>
              <w:left w:w="160" w:type="dxa"/>
              <w:right w:w="160" w:type="dxa"/>
            </w:tcMar>
          </w:tcPr>
          <w:p>
            <w:pPr>
              <w:jc w:val="left"/>
            </w:pPr>
            <w:r>
              <w:rPr>
                <w:rFonts w:ascii="Calibri" w:hAnsi="Calibri"/>
                <w:color w:val="0F172A"/>
                <w:sz w:val="19"/>
              </w:rPr>
              <w:t>In-Memory Python C-Extension API</w:t>
            </w:r>
          </w:p>
        </w:tc>
        <w:tc>
          <w:tcPr>
            <w:tcW w:type="dxa" w:w="2448"/>
            <w:shd w:fill="F8FAFC"/>
            <w:tcMar>
              <w:top w:w="100" w:type="dxa"/>
              <w:bottom w:w="100" w:type="dxa"/>
              <w:left w:w="160" w:type="dxa"/>
              <w:right w:w="160" w:type="dxa"/>
            </w:tcMar>
          </w:tcPr>
          <w:p>
            <w:pPr>
              <w:jc w:val="left"/>
            </w:pPr>
            <w:r>
              <w:rPr>
                <w:rFonts w:ascii="Calibri" w:hAnsi="Calibri"/>
                <w:color w:val="0F172A"/>
                <w:sz w:val="19"/>
              </w:rPr>
              <w:t>384-dim Vector Queries &amp; Top-K Context Chunks</w:t>
            </w:r>
          </w:p>
        </w:tc>
      </w:tr>
      <w:tr>
        <w:tc>
          <w:tcPr>
            <w:tcW w:type="dxa" w:w="2304"/>
            <w:shd w:fill="FFFFFF"/>
            <w:tcMar>
              <w:top w:w="100" w:type="dxa"/>
              <w:bottom w:w="100" w:type="dxa"/>
              <w:left w:w="160" w:type="dxa"/>
              <w:right w:w="160" w:type="dxa"/>
            </w:tcMar>
          </w:tcPr>
          <w:p>
            <w:pPr>
              <w:jc w:val="left"/>
            </w:pPr>
            <w:r>
              <w:rPr>
                <w:rFonts w:ascii="Calibri" w:hAnsi="Calibri"/>
                <w:color w:val="0F172A"/>
                <w:sz w:val="19"/>
              </w:rPr>
              <w:t>PySide6 Desktop Application</w:t>
            </w:r>
          </w:p>
        </w:tc>
        <w:tc>
          <w:tcPr>
            <w:tcW w:type="dxa" w:w="2304"/>
            <w:shd w:fill="FFFFFF"/>
            <w:tcMar>
              <w:top w:w="100" w:type="dxa"/>
              <w:bottom w:w="100" w:type="dxa"/>
              <w:left w:w="160" w:type="dxa"/>
              <w:right w:w="160" w:type="dxa"/>
            </w:tcMar>
          </w:tcPr>
          <w:p>
            <w:pPr>
              <w:jc w:val="left"/>
            </w:pPr>
            <w:r>
              <w:rPr>
                <w:rFonts w:ascii="Calibri" w:hAnsi="Calibri"/>
                <w:color w:val="0F172A"/>
                <w:sz w:val="19"/>
              </w:rPr>
              <w:t>Ollama AI Service Daemon</w:t>
            </w:r>
          </w:p>
        </w:tc>
        <w:tc>
          <w:tcPr>
            <w:tcW w:type="dxa" w:w="2304"/>
            <w:shd w:fill="FFFFFF"/>
            <w:tcMar>
              <w:top w:w="100" w:type="dxa"/>
              <w:bottom w:w="100" w:type="dxa"/>
              <w:left w:w="160" w:type="dxa"/>
              <w:right w:w="160" w:type="dxa"/>
            </w:tcMar>
          </w:tcPr>
          <w:p>
            <w:pPr>
              <w:jc w:val="left"/>
            </w:pPr>
            <w:r>
              <w:rPr>
                <w:rFonts w:ascii="Calibri" w:hAnsi="Calibri"/>
                <w:color w:val="0F172A"/>
                <w:sz w:val="19"/>
              </w:rPr>
              <w:t>Local HTTP REST Loopback (127.0.0.1:11434)</w:t>
            </w:r>
          </w:p>
        </w:tc>
        <w:tc>
          <w:tcPr>
            <w:tcW w:type="dxa" w:w="2448"/>
            <w:shd w:fill="FFFFFF"/>
            <w:tcMar>
              <w:top w:w="100" w:type="dxa"/>
              <w:bottom w:w="100" w:type="dxa"/>
              <w:left w:w="160" w:type="dxa"/>
              <w:right w:w="160" w:type="dxa"/>
            </w:tcMar>
          </w:tcPr>
          <w:p>
            <w:pPr>
              <w:jc w:val="left"/>
            </w:pPr>
            <w:r>
              <w:rPr>
                <w:rFonts w:ascii="Calibri" w:hAnsi="Calibri"/>
                <w:color w:val="0F172A"/>
                <w:sz w:val="19"/>
              </w:rPr>
              <w:t>System Prompts, Context Chunks &amp; JSON Response Schemas</w:t>
            </w:r>
          </w:p>
        </w:tc>
      </w:tr>
      <w:tr>
        <w:tc>
          <w:tcPr>
            <w:tcW w:type="dxa" w:w="2304"/>
            <w:shd w:fill="F8FAFC"/>
            <w:tcMar>
              <w:top w:w="100" w:type="dxa"/>
              <w:bottom w:w="100" w:type="dxa"/>
              <w:left w:w="160" w:type="dxa"/>
              <w:right w:w="160" w:type="dxa"/>
            </w:tcMar>
          </w:tcPr>
          <w:p>
            <w:pPr>
              <w:jc w:val="left"/>
            </w:pPr>
            <w:r>
              <w:rPr>
                <w:rFonts w:ascii="Calibri" w:hAnsi="Calibri"/>
                <w:color w:val="0F172A"/>
                <w:sz w:val="19"/>
              </w:rPr>
              <w:t>PySide6 Desktop Application</w:t>
            </w:r>
          </w:p>
        </w:tc>
        <w:tc>
          <w:tcPr>
            <w:tcW w:type="dxa" w:w="2304"/>
            <w:shd w:fill="F8FAFC"/>
            <w:tcMar>
              <w:top w:w="100" w:type="dxa"/>
              <w:bottom w:w="100" w:type="dxa"/>
              <w:left w:w="160" w:type="dxa"/>
              <w:right w:w="160" w:type="dxa"/>
            </w:tcMar>
          </w:tcPr>
          <w:p>
            <w:pPr>
              <w:jc w:val="left"/>
            </w:pPr>
            <w:r>
              <w:rPr>
                <w:rFonts w:ascii="Calibri" w:hAnsi="Calibri"/>
                <w:color w:val="0F172A"/>
                <w:sz w:val="19"/>
              </w:rPr>
              <w:t>Local Document Vault</w:t>
            </w:r>
          </w:p>
        </w:tc>
        <w:tc>
          <w:tcPr>
            <w:tcW w:type="dxa" w:w="2304"/>
            <w:shd w:fill="F8FAFC"/>
            <w:tcMar>
              <w:top w:w="100" w:type="dxa"/>
              <w:bottom w:w="100" w:type="dxa"/>
              <w:left w:w="160" w:type="dxa"/>
              <w:right w:w="160" w:type="dxa"/>
            </w:tcMar>
          </w:tcPr>
          <w:p>
            <w:pPr>
              <w:jc w:val="left"/>
            </w:pPr>
            <w:r>
              <w:rPr>
                <w:rFonts w:ascii="Calibri" w:hAnsi="Calibri"/>
                <w:color w:val="0F172A"/>
                <w:sz w:val="19"/>
              </w:rPr>
              <w:t>Direct OS File I/O + AES-256 Encryption</w:t>
            </w:r>
          </w:p>
        </w:tc>
        <w:tc>
          <w:tcPr>
            <w:tcW w:type="dxa" w:w="2448"/>
            <w:shd w:fill="F8FAFC"/>
            <w:tcMar>
              <w:top w:w="100" w:type="dxa"/>
              <w:bottom w:w="100" w:type="dxa"/>
              <w:left w:w="160" w:type="dxa"/>
              <w:right w:w="160" w:type="dxa"/>
            </w:tcMar>
          </w:tcPr>
          <w:p>
            <w:pPr>
              <w:jc w:val="left"/>
            </w:pPr>
            <w:r>
              <w:rPr>
                <w:rFonts w:ascii="Calibri" w:hAnsi="Calibri"/>
                <w:color w:val="0F172A"/>
                <w:sz w:val="19"/>
              </w:rPr>
              <w:t>Encrypted PDF, XLSX, CSV Files &amp; Report Exports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