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Blum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Dolore alias reiciendis recusandae provident necessitatibus suscipit maiores. Magnam nisi perferendis porro laudantium. Molestiae sint ut debitis illum.</w:t>
      </w:r>
    </w:p>
    <w:p>
      <w:r>
        <w:rPr>
          <w:b/>
        </w:rPr>
        <w:t>Confidential Signoff: Françoise Botteron (AHV: 756.7363.5430.33, IBAN: CH82 0024 59428760 6, Card: 4889778280647966)</w:t>
      </w:r>
    </w:p>
    <w:p>
      <w:pPr>
        <w:pStyle w:val="Heading2"/>
      </w:pPr>
      <w:r>
        <w:t>Unfinished Draft</w:t>
      </w:r>
    </w:p>
    <w:p>
      <w:r>
        <w:t>Contact employee Leonhard Blum (SSN: 756.3262.9498.36) asap.</w:t>
      </w:r>
    </w:p>
    <w:p>
      <w:r>
        <w:rPr>
          <w:b/>
        </w:rPr>
        <w:t>Confidential Signoff: Tracey Herzog (AHV: 756.7184.7154.20, IBAN: CH57 0024 57416943 8, Card: 4086780856279)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