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Boechat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Maxime dolore dolor consectetur molestiae quaerat. A repellendus maiores et a similique.</w:t>
      </w:r>
    </w:p>
    <w:p>
      <w:r>
        <w:rPr>
          <w:b/>
        </w:rPr>
        <w:t>Confidential Signoff: Arda Wegmann (AHV: 756.9775.6633.62, IBAN: CH23 0024 52694338 5, Card: 3549956412203106)</w:t>
      </w:r>
    </w:p>
    <w:p>
      <w:pPr>
        <w:pStyle w:val="Heading2"/>
      </w:pPr>
      <w:r>
        <w:t>Unfinished Draft</w:t>
      </w:r>
    </w:p>
    <w:p>
      <w:r>
        <w:t>Contact employee Eva Boechat (SSN: 756.6183.3954.20) asap.</w:t>
      </w:r>
    </w:p>
    <w:p>
      <w:r>
        <w:rPr>
          <w:b/>
        </w:rPr>
        <w:t>Confidential Signoff: Albina Sandoval (AHV: 756.1452.2889.43, IBAN: CH96 0024 59996207 6, Card: 36038597703485)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