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Boichat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Quisquam itaque fuga iusto nisi. Similique nemo repudiandae voluptas aliquam.</w:t>
      </w:r>
    </w:p>
    <w:p>
      <w:pPr>
        <w:pStyle w:val="Heading2"/>
      </w:pPr>
      <w:r>
        <w:t>Unfinished Draft</w:t>
      </w:r>
    </w:p>
    <w:p>
      <w:r>
        <w:t>Contact employee Rinaldo Boichat (SSN: 756.5060.4951.44) asap.</w:t>
      </w:r>
    </w:p>
    <w:p>
      <w:r>
        <w:rPr>
          <w:b/>
        </w:rPr>
        <w:t>Confidential Signoff: Gebhard Stettler (AHV: 756.1674.1464.20, IBAN: CH29 0024 53872269 6, Card: 4590277167014507)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