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Chambers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Illo quibusdam earum sapiente consequatur ab. Error praesentium delectus delectus quisquam. Eos eius quas impedit eius adipisci.</w:t>
      </w:r>
    </w:p>
    <w:p>
      <w:r>
        <w:rPr>
          <w:b/>
        </w:rPr>
        <w:t>Confidential Signoff: Laetitia Gates (AHV: 756.1483.7270.97, IBAN: CH65 0024 57626978 8, Card: 4207167811266915)</w:t>
      </w:r>
    </w:p>
    <w:p>
      <w:pPr>
        <w:pStyle w:val="Heading2"/>
      </w:pPr>
      <w:r>
        <w:t>Unfinished Draft</w:t>
      </w:r>
    </w:p>
    <w:p>
      <w:r>
        <w:t>Contact employee Albert Chambers (SSN: 756.3192.6615.72) asap.</w:t>
      </w:r>
    </w:p>
    <w:p>
      <w:r>
        <w:rPr>
          <w:b/>
        </w:rPr>
        <w:t>Confidential Signoff: Curtis Chenaux (AHV: 756.8135.3885.76, IBAN: CH91 0024 58713146 3, Card: 3512779979955279)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