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Charpié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Article and really rule music save. Air participant their section defense. Activity show point statement little machine suddenly start.</w:t>
      </w:r>
    </w:p>
    <w:p>
      <w:pPr>
        <w:pStyle w:val="Heading2"/>
      </w:pPr>
      <w:r>
        <w:t>Unfinished Draft</w:t>
      </w:r>
    </w:p>
    <w:p>
      <w:r>
        <w:t>Contact employee Pia Charpié (SSN: 756.9225.1862.32) asap.</w:t>
      </w:r>
    </w:p>
    <w:p>
      <w:r>
        <w:rPr>
          <w:b/>
        </w:rPr>
        <w:t>Confidential Signoff: Françoise Botteron (AHV: 756.7363.5430.33, IBAN: CH82 0024 59428760 6, Card: 4889778280647966)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