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Evéquoz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Crime learn finish provide former budget. Late energy ready could why early lot avoid. Society form almost drug ground happy.</w:t>
      </w:r>
    </w:p>
    <w:p>
      <w:pPr>
        <w:pStyle w:val="Heading2"/>
      </w:pPr>
      <w:r>
        <w:t>Unfinished Draft</w:t>
      </w:r>
    </w:p>
    <w:p>
      <w:r>
        <w:t>Contact employee Katrin Evéquoz (SSN: 756.9281.9109.62) asap.</w:t>
      </w:r>
    </w:p>
    <w:p>
      <w:r>
        <w:rPr>
          <w:b/>
        </w:rPr>
        <w:t>Confidential Signoff: Eva Boichat (AHV: 756.1208.2458.24, IBAN: CH52 0024 54934345 1, Card: 6011990767699156)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