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Gfeller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Consequatur sed consectetur. Eaque nihil aliquam tempore dignissimos.</w:t>
      </w:r>
    </w:p>
    <w:p>
      <w:pPr>
        <w:pStyle w:val="Heading2"/>
      </w:pPr>
      <w:r>
        <w:t>Unfinished Draft</w:t>
      </w:r>
    </w:p>
    <w:p>
      <w:r>
        <w:t>Contact employee Emma Gfeller (SSN: 756.8909.1507.65) asap.</w:t>
      </w:r>
    </w:p>
    <w:p>
      <w:r>
        <w:rPr>
          <w:b/>
        </w:rPr>
        <w:t>Confidential Signoff: Luca Hernandez (AHV: 756.6514.5944.51, IBAN: CH57 0024 57636992 2, Card: 4651364424936312303)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