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Hernandez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Quia ratione velit eveniet. Velit adipisci ex ipsa ullam assumenda deleniti. Reiciendis esse ipsum at minus quidem magnam.</w:t>
      </w:r>
    </w:p>
    <w:p>
      <w:r>
        <w:rPr>
          <w:b/>
        </w:rPr>
        <w:t>Confidential Signoff: Samuel Kessler (AHV: 756.3112.2682.59, IBAN: CH38 0024 56777230 5, Card: 4984028914161289)</w:t>
      </w:r>
    </w:p>
    <w:p>
      <w:pPr>
        <w:pStyle w:val="Heading2"/>
      </w:pPr>
      <w:r>
        <w:t>Unfinished Draft</w:t>
      </w:r>
    </w:p>
    <w:p>
      <w:r>
        <w:t>Contact employee Stéphanie Hernandez (SSN: 756.2898.2556.15)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