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Jacobs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Determine expect simple rich difference indicate shake according.</w:t>
      </w:r>
    </w:p>
    <w:p>
      <w:pPr>
        <w:pStyle w:val="Heading2"/>
      </w:pPr>
      <w:r>
        <w:t>Unfinished Draft</w:t>
      </w:r>
    </w:p>
    <w:p>
      <w:r>
        <w:t>Contact employee Jiri Jacobs (SSN: 756.9442.6372.21) asap.</w:t>
      </w:r>
    </w:p>
    <w:p>
      <w:r>
        <w:rPr>
          <w:b/>
        </w:rPr>
        <w:t>Confidential Signoff: Françoise Bush (AHV: 756.2773.6736.81, IBAN: CH94 0024 59089795 4, Card: 4918255371478596964)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