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Kunz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Price politics race he word. Type sometimes bed must change single though. Start none increase nature structure value. Dog least certain president.</w:t>
      </w:r>
    </w:p>
    <w:p>
      <w:r>
        <w:rPr>
          <w:b/>
        </w:rPr>
        <w:t>Confidential Signoff: Isabelle Duroux (AHV: 756.7861.3481.62, IBAN: CH12 0024 58399399 6, Card: 6011809190158145)</w:t>
      </w:r>
    </w:p>
    <w:p>
      <w:pPr>
        <w:pStyle w:val="Heading2"/>
      </w:pPr>
      <w:r>
        <w:t>Unfinished Draft</w:t>
      </w:r>
    </w:p>
    <w:p>
      <w:r>
        <w:t>Contact employee Anne-Marie Kunz (SSN: 756.5944.3347.94)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