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Santiago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Talk court part actually specific support boy. Almost avoid difference. Free moment a executive.</w:t>
      </w:r>
    </w:p>
    <w:p>
      <w:r>
        <w:rPr>
          <w:b/>
        </w:rPr>
        <w:t>Confidential Signoff: Lara Bishop (AHV: 756.5885.5764.68, IBAN: CH31 0024 52095334 1, Card: 4474355379502096)</w:t>
      </w:r>
    </w:p>
    <w:p>
      <w:pPr>
        <w:pStyle w:val="Heading2"/>
      </w:pPr>
      <w:r>
        <w:t>Unfinished Draft</w:t>
      </w:r>
    </w:p>
    <w:p>
      <w:r>
        <w:t>Contact employee Luca Santiago (SSN: 756.5728.2204.59) asap.</w:t>
      </w:r>
    </w:p>
    <w:p>
      <w:r>
        <w:rPr>
          <w:b/>
        </w:rPr>
        <w:t>Confidential Signoff: Olena Brown (AHV: 756.5585.8307.29, IBAN: CH37 0024 54139874 5, Card: 349613674994652)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