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Weibel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Follow arrive can responsibility different western office ahead. Drop war material term. Century difference green near apply through.</w:t>
      </w:r>
    </w:p>
    <w:p>
      <w:r>
        <w:rPr>
          <w:b/>
        </w:rPr>
        <w:t>Confidential Signoff: Arda Gasser (AHV: 756.5442.5450.27, IBAN: CH37 0024 54390138 9, Card: 180088725639428)</w:t>
      </w:r>
    </w:p>
    <w:p>
      <w:pPr>
        <w:pStyle w:val="Heading2"/>
      </w:pPr>
      <w:r>
        <w:t>Unfinished Draft</w:t>
      </w:r>
    </w:p>
    <w:p>
      <w:r>
        <w:t>Contact employee Jill Weibel (SSN: 756.8259.7947.72) asap.</w:t>
      </w:r>
    </w:p>
    <w:p>
      <w:r>
        <w:rPr>
          <w:b/>
        </w:rPr>
        <w:t>Confidential Signoff: Donald Michel (AHV: 756.2622.9017.88, IBAN: CH63 0024 53592464 7, Card: 213180100623126)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