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Zehnder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Voluptatibus delectus nostrum deserunt nemo illum. Suscipit ratione voluptate rem modi eveniet. Nemo earum quo neque totam eaque.</w:t>
      </w:r>
    </w:p>
    <w:p>
      <w:pPr>
        <w:pStyle w:val="Heading2"/>
      </w:pPr>
      <w:r>
        <w:t>Unfinished Draft</w:t>
      </w:r>
    </w:p>
    <w:p>
      <w:r>
        <w:t>Contact employee Crystal Zehnder (SSN: 756.8564.5616.58)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