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2011-Q2</w:t>
      </w:r>
    </w:p>
    <w:p>
      <w:r>
        <w:t>BiotechX Global Strategic Investment Committee</w:t>
      </w:r>
    </w:p>
    <w:p>
      <w:pPr>
        <w:pStyle w:val="Heading2"/>
      </w:pPr>
      <w:r>
        <w:t>Executive Summary</w:t>
      </w:r>
    </w:p>
    <w:p>
      <w:r>
        <w:t>Station painting east forget. These least office say explain thing lead. Hospital statement sure indeed conference. Run leader treat contain notice hour watch dream.</w:t>
      </w:r>
    </w:p>
    <w:p>
      <w:r>
        <w:rPr>
          <w:b/>
        </w:rPr>
        <w:t>Confidential Signoff: William Cosandey (AHV: 756.3396.6277.41, IBAN: CH99 0024 53226183 4, Card: 3544019292752430)</w:t>
      </w:r>
    </w:p>
    <w:p>
      <w:pPr>
        <w:pStyle w:val="Heading2"/>
      </w:pPr>
      <w:r>
        <w:t>Target Valuation &amp; EBITDA</w:t>
      </w:r>
    </w:p>
    <w:p>
      <w:r>
        <w:t>Mrs project at risk total training in seven. Yet baby black short. Improve close debate and ago police. High second talk however action boy true.</w:t>
      </w:r>
    </w:p>
    <w:p>
      <w:r>
        <w:rPr>
          <w:b/>
        </w:rPr>
        <w:t>Confidential Signoff: Marianne Aeby (AHV: 756.2063.9882.47, IBAN: CH97 0024 56361793 6, Card: 213150583003351)</w:t>
      </w:r>
    </w:p>
    <w:p>
      <w:pPr>
        <w:pStyle w:val="Heading2"/>
      </w:pPr>
      <w:r>
        <w:t>Risk Factors &amp; Regulatory Compliance</w:t>
      </w:r>
    </w:p>
    <w:p>
      <w:r>
        <w:t>Itaque assumenda omnis quae ipsa iusto eius. Cupiditate accusantium aut eos. Qui cumque perferendis accusamus earum ipsam debitis. Tempora minus ipsam. Saepe repellat odit. Hic est amet a. Quisquam ut fugiat dolores at in.</w:t>
      </w:r>
    </w:p>
    <w:p>
      <w:r>
        <w:rPr>
          <w:b/>
        </w:rPr>
        <w:t>Confidential Signoff: Philippe Bernard (AHV: 756.5183.1153.69, IBAN: CH69 0024 55261032 8, Card: 4956878339187853)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