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2011-Q3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Commercial where outside wonder recent question win. Forward play this fish. Attack adult treatment large memory score me. Discussion pattern to. Door investment during bag case.</w:t>
      </w:r>
    </w:p>
    <w:p>
      <w:pPr>
        <w:pStyle w:val="Heading2"/>
      </w:pPr>
      <w:r>
        <w:t>Target Valuation &amp; EBITDA</w:t>
      </w:r>
    </w:p>
    <w:p>
      <w:r>
        <w:t>Corrupti dignissimos alias unde nisi. Qui eveniet eius officia quis maxime. Officia enim ad sed ex doloribus. Amet ullam voluptates reiciendis possimus dolore sit.</w:t>
      </w:r>
    </w:p>
    <w:p>
      <w:r>
        <w:rPr>
          <w:b/>
        </w:rPr>
        <w:t>Confidential Signoff: Danny Grojean (AHV: 756.1440.8563.36, IBAN: CH35 0024 54018677 9, Card: 180089268602591)</w:t>
      </w:r>
    </w:p>
    <w:p>
      <w:pPr>
        <w:pStyle w:val="Heading2"/>
      </w:pPr>
      <w:r>
        <w:t>Risk Factors &amp; Regulatory Compliance</w:t>
      </w:r>
    </w:p>
    <w:p>
      <w:r>
        <w:t>Ipsam ab sit architecto. Amet voluptatibus vel commodi cupiditate. Rerum ut dolores aspernatur quam est quam. Incidunt non esse nemo voluptas. Earum quos aspernatur voluptate id. Iusto in non inventore.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