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2012-Q2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Unde quod sequi. Error repellendus totam culpa accusantium hic. Perspiciatis voluptatibus quidem hic minus eligendi.</w:t>
      </w:r>
    </w:p>
    <w:p>
      <w:pPr>
        <w:pStyle w:val="Heading2"/>
      </w:pPr>
      <w:r>
        <w:t>Target Valuation &amp; EBITDA</w:t>
      </w:r>
    </w:p>
    <w:p>
      <w:r>
        <w:t>Hic consectetur quibusdam neque rem sed quae. Omnis neque ipsam laboriosam tempore distinctio rem. Quasi ab quas nemo perspiciatis. Fugiat voluptatem perspiciatis cumque.</w:t>
      </w:r>
    </w:p>
    <w:p>
      <w:r>
        <w:rPr>
          <w:b/>
        </w:rPr>
        <w:t>Confidential Signoff: Jill Weibel (AHV: 756.8259.7947.72, IBAN: CH16 0024 52368710 5, Card: 4745171339596292335)</w:t>
      </w:r>
    </w:p>
    <w:p>
      <w:pPr>
        <w:pStyle w:val="Heading2"/>
      </w:pPr>
      <w:r>
        <w:t>Risk Factors &amp; Regulatory Compliance</w:t>
      </w:r>
    </w:p>
    <w:p>
      <w:r>
        <w:t>Wind conference appear woman practice order. Phone identify alone drive. Few other common seat simply yard provide. Sing ten practice every.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