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M&amp;A Acquisition Target Analysis 2012-Q4</w:t>
      </w:r>
    </w:p>
    <w:p>
      <w:r>
        <w:t>BiotechX Global Strategic Investment Committee</w:t>
      </w:r>
    </w:p>
    <w:p>
      <w:pPr>
        <w:pStyle w:val="Heading2"/>
      </w:pPr>
      <w:r>
        <w:t>Executive Summary</w:t>
      </w:r>
    </w:p>
    <w:p>
      <w:r>
        <w:t>Libero placeat perspiciatis minus commodi accusamus deleniti. Quae praesentium quibusdam. Voluptatibus optio ullam voluptatum velit.</w:t>
      </w:r>
    </w:p>
    <w:p>
      <w:r>
        <w:rPr>
          <w:b/>
        </w:rPr>
        <w:t>Confidential Signoff: Kelly Cornuz (AHV: 756.5905.2697.27, IBAN: CH88 0024 59874152 1, Card: 4788568557444318)</w:t>
      </w:r>
    </w:p>
    <w:p>
      <w:pPr>
        <w:pStyle w:val="Heading2"/>
      </w:pPr>
      <w:r>
        <w:t>Target Valuation &amp; EBITDA</w:t>
      </w:r>
    </w:p>
    <w:p>
      <w:r>
        <w:t>Non vitae perferendis. Temporibus cupiditate facilis consequatur explicabo amet libero. Fuga beatae totam dolorum. Sed similique enim laboriosam eaque a occaecati. Dolor esse ut officia repudiandae alias. Tempora sed animi ab itaque error autem.</w:t>
      </w:r>
    </w:p>
    <w:p>
      <w:pPr>
        <w:pStyle w:val="Heading2"/>
      </w:pPr>
      <w:r>
        <w:t>Risk Factors &amp; Regulatory Compliance</w:t>
      </w:r>
    </w:p>
    <w:p>
      <w:r>
        <w:t>Explicabo aut laudantium assumenda maiores corrupti. Totam ab quo dolorum. Hic error incidunt delectus repellat autem ipsa. Cum explicabo inventore facere sit dicta.</w:t>
      </w:r>
    </w:p>
    <w:p>
      <w:r>
        <w:rPr>
          <w:b/>
        </w:rPr>
        <w:t>Confidential Signoff: Corinne Wilson (AHV: 756.2530.9234.92, IBAN: CH26 0024 56080553 9, Card: 30467621202162)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