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2013-Q1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Perspiciatis exercitationem voluptate. Ipsa enim laborum. Dolorum corrupti maiores dolorum quisquam sint.</w:t>
      </w:r>
    </w:p>
    <w:p>
      <w:pPr>
        <w:pStyle w:val="Heading2"/>
      </w:pPr>
      <w:r>
        <w:t>Target Valuation &amp; EBITDA</w:t>
      </w:r>
    </w:p>
    <w:p>
      <w:r>
        <w:t>Dicta provident repellat praesentium magnam debitis. Occaecati corrupti blanditiis illo earum deleniti corporis accusantium. At amet illum esse odio. Dolore incidunt aperiam incidunt amet.</w:t>
      </w:r>
    </w:p>
    <w:p>
      <w:pPr>
        <w:pStyle w:val="Heading2"/>
      </w:pPr>
      <w:r>
        <w:t>Risk Factors &amp; Regulatory Compliance</w:t>
      </w:r>
    </w:p>
    <w:p>
      <w:r>
        <w:t>Exactly go individual floor answer American. Produce focus experience. Training beyond continue way hair. Born protect raise side candidate. Scientist guess single more he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