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2013-Q2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Delectus cum dolor possimus sunt. Iste provident minima esse dolore provident mollitia. Dolore modi eos odit.</w:t>
      </w:r>
    </w:p>
    <w:p>
      <w:r>
        <w:rPr>
          <w:b/>
        </w:rPr>
        <w:t>Confidential Signoff: Christopher Michel (AHV: 756.9377.4329.29, IBAN: CH20 0024 56199374 2, Card: 3574063356939296)</w:t>
      </w:r>
    </w:p>
    <w:p>
      <w:pPr>
        <w:pStyle w:val="Heading2"/>
      </w:pPr>
      <w:r>
        <w:t>Target Valuation &amp; EBITDA</w:t>
      </w:r>
    </w:p>
    <w:p>
      <w:r>
        <w:t>Sit amet voluptatem voluptatibus distinctio. A expedita non fuga. Veniam sunt eaque consequatur.</w:t>
      </w:r>
    </w:p>
    <w:p>
      <w:r>
        <w:rPr>
          <w:b/>
        </w:rPr>
        <w:t>Confidential Signoff: Sara Müller (AHV: 756.6663.6139.65, IBAN: CH14 0024 52818692 7, Card: 676393248080)</w:t>
      </w:r>
    </w:p>
    <w:p>
      <w:pPr>
        <w:pStyle w:val="Heading2"/>
      </w:pPr>
      <w:r>
        <w:t>Risk Factors &amp; Regulatory Compliance</w:t>
      </w:r>
    </w:p>
    <w:p>
      <w:r>
        <w:t>Voluptates numquam ab explicabo quas eius. Voluptas modi voluptatem quod quos. Quam porro veniam ducimus. Odio mollitia repellendus dolore eaque neque repellat quidem. Ipsum quas inventore corporis.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