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2013-Q4</w:t>
      </w:r>
    </w:p>
    <w:p>
      <w:r>
        <w:t>BiotechX Global Strategic Investment Committee</w:t>
      </w:r>
    </w:p>
    <w:p>
      <w:pPr>
        <w:pStyle w:val="Heading2"/>
      </w:pPr>
      <w:r>
        <w:t>Executive Summary</w:t>
      </w:r>
    </w:p>
    <w:p>
      <w:r>
        <w:t>Repudiandae animi consequuntur vitae provident. Quasi possimus incidunt amet autem neque. Saepe sit adipisci facilis aspernatur aspernatur necessitatibus.</w:t>
      </w:r>
    </w:p>
    <w:p>
      <w:r>
        <w:rPr>
          <w:b/>
        </w:rPr>
        <w:t>Confidential Signoff: Lucie Badel (AHV: 756.5390.3526.58, IBAN: CH41 0024 52233237 2, Card: 4388487920691)</w:t>
      </w:r>
    </w:p>
    <w:p>
      <w:pPr>
        <w:pStyle w:val="Heading2"/>
      </w:pPr>
      <w:r>
        <w:t>Target Valuation &amp; EBITDA</w:t>
      </w:r>
    </w:p>
    <w:p>
      <w:r>
        <w:t>Iusto consequuntur minima veniam. Illum excepturi quos possimus enim culpa sunt. Nobis cupiditate cum.</w:t>
      </w:r>
    </w:p>
    <w:p>
      <w:r>
        <w:rPr>
          <w:b/>
        </w:rPr>
        <w:t>Confidential Signoff: Angela Howard (AHV: 756.1474.3846.34, IBAN: CH61 0024 53275826 9, Card: 342801561931831)</w:t>
      </w:r>
    </w:p>
    <w:p>
      <w:pPr>
        <w:pStyle w:val="Heading2"/>
      </w:pPr>
      <w:r>
        <w:t>Risk Factors &amp; Regulatory Compliance</w:t>
      </w:r>
    </w:p>
    <w:p>
      <w:r>
        <w:t>Mollitia repudiandae ullam magnam quae incidunt culpa. Maxime voluptate commodi distinctio. Animi hic reprehenderit voluptate non aspernatur possimus labore. Repudiandae cum rem officia deserunt autem. Facilis quod excepturi dolores. Molestiae aperiam nisi quidem.</w:t>
      </w:r>
    </w:p>
    <w:p>
      <w:r>
        <w:rPr>
          <w:b/>
        </w:rPr>
        <w:t>Confidential Signoff: Thérèse Salazar (AHV: 756.1659.3870.70, IBAN: CH85 0024 51348050 5, Card: 2266786691251770)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