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2014-Q1</w:t>
      </w:r>
    </w:p>
    <w:p>
      <w:r>
        <w:t>BiotechX Global Strategic Investment Committee</w:t>
      </w:r>
    </w:p>
    <w:p>
      <w:pPr>
        <w:pStyle w:val="Heading2"/>
      </w:pPr>
      <w:r>
        <w:t>Executive Summary</w:t>
      </w:r>
    </w:p>
    <w:p>
      <w:r>
        <w:t>Sunt rem omnis quisquam cum. Maiores quas officiis ut exercitationem quos excepturi.</w:t>
      </w:r>
    </w:p>
    <w:p>
      <w:r>
        <w:rPr>
          <w:b/>
        </w:rPr>
        <w:t>Confidential Signoff: Nikolaos Corboz (AHV: 756.8609.4342.53, IBAN: CH66 0024 57972975 8, Card: 38971775170168)</w:t>
      </w:r>
    </w:p>
    <w:p>
      <w:pPr>
        <w:pStyle w:val="Heading2"/>
      </w:pPr>
      <w:r>
        <w:t>Target Valuation &amp; EBITDA</w:t>
      </w:r>
    </w:p>
    <w:p>
      <w:r>
        <w:t>Aliquam quae placeat dolores voluptatum non. Necessitatibus voluptatibus atque accusamus. Molestias voluptas quos assumenda atque. Cumque eos architecto nemo explicabo architecto. Ducimus labore ducimus soluta officiis consequuntur commodi. Laborum facilis enim illum nulla perspiciatis ipsam.</w:t>
      </w:r>
    </w:p>
    <w:p>
      <w:r>
        <w:rPr>
          <w:b/>
        </w:rPr>
        <w:t>Confidential Signoff: Chantal Bourquin (AHV: 756.6928.1298.56, IBAN: CH21 0024 58103580 9, Card: 347474112490353)</w:t>
      </w:r>
    </w:p>
    <w:p>
      <w:pPr>
        <w:pStyle w:val="Heading2"/>
      </w:pPr>
      <w:r>
        <w:t>Risk Factors &amp; Regulatory Compliance</w:t>
      </w:r>
    </w:p>
    <w:p>
      <w:r>
        <w:t>Fugiat placeat magni ea soluta placeat. Voluptate animi ratione praesentium natus culpa autem fugiat. Id asperiores harum iure atque iure odit. Autem debitis autem vero id inventore illo. Et voluptatum laborum praesentium. Beatae iste molestias veniam corporis distinctio necessitatibus. Quo aperiam repellat ratione voluptatem distinctio distinctio ad. Earum odio assumenda architecto illo error.</w:t>
      </w:r>
    </w:p>
    <w:p>
      <w:r>
        <w:rPr>
          <w:b/>
        </w:rPr>
        <w:t>Confidential Signoff: Chloé Braun (AHV: 756.3328.4084.73, IBAN: CH85 0024 51473227 6, Card: 2235785294563712)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