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2014-Q3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Aut recusandae impedit laborum numquam distinctio. Fugiat et tenetur repellat debitis ab. Optio occaecati sequi blanditiis.</w:t>
      </w:r>
    </w:p>
    <w:p>
      <w:r>
        <w:rPr>
          <w:b/>
        </w:rPr>
        <w:t>Confidential Signoff: Christina Gaines (AHV: 756.7493.6005.99, IBAN: CH57 0024 53777050 1, Card: 4011947072006425696)</w:t>
      </w:r>
    </w:p>
    <w:p>
      <w:pPr>
        <w:pStyle w:val="Heading2"/>
      </w:pPr>
      <w:r>
        <w:t>Target Valuation &amp; EBITDA</w:t>
      </w:r>
    </w:p>
    <w:p>
      <w:r>
        <w:t>Voluptatum nobis a maxime ducimus commodi non. Ad maiores corrupti sint beatae dolor eveniet. Assumenda porro consectetur earum dicta. Expedita mollitia eos quia. Ipsa veniam ullam dolorum dicta sapiente quaerat.</w:t>
      </w:r>
    </w:p>
    <w:p>
      <w:r>
        <w:rPr>
          <w:b/>
        </w:rPr>
        <w:t>Confidential Signoff: Christina Gaines (AHV: 756.7493.6005.99, IBAN: CH57 0024 53777050 1, Card: 4011947072006425696)</w:t>
      </w:r>
    </w:p>
    <w:p>
      <w:pPr>
        <w:pStyle w:val="Heading2"/>
      </w:pPr>
      <w:r>
        <w:t>Risk Factors &amp; Regulatory Compliance</w:t>
      </w:r>
    </w:p>
    <w:p>
      <w:r>
        <w:t>Recusandae nesciunt cumque dignissimos quam inventore ipsum nisi. Repellendus numquam non inventore necessitatibus. Tempore reprehenderit ipsum suscipit vero ducimus. Eos repudiandae officia vitae explicabo adipisci.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