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M&amp;A Acquisition Target Analysis 2015-Q1</w:t>
      </w:r>
    </w:p>
    <w:p>
      <w:r>
        <w:t>BiotechX Global Strategic Investment Committee</w:t>
      </w:r>
    </w:p>
    <w:p>
      <w:pPr>
        <w:pStyle w:val="Heading2"/>
      </w:pPr>
      <w:r>
        <w:t>Executive Summary</w:t>
      </w:r>
    </w:p>
    <w:p>
      <w:r>
        <w:t>Adipisci optio iste eaque unde. Explicabo distinctio id inventore. Amet earum atque officiis quasi in.</w:t>
      </w:r>
    </w:p>
    <w:p>
      <w:r>
        <w:rPr>
          <w:b/>
        </w:rPr>
        <w:t>Confidential Signoff: Stéphanie Hernandez (AHV: 756.2898.2556.15, IBAN: CH56 0024 56246354 7, Card: 3545089203880652)</w:t>
      </w:r>
    </w:p>
    <w:p>
      <w:pPr>
        <w:pStyle w:val="Heading2"/>
      </w:pPr>
      <w:r>
        <w:t>Target Valuation &amp; EBITDA</w:t>
      </w:r>
    </w:p>
    <w:p>
      <w:r>
        <w:t>Debitis eius non maxime autem amet. Vero dolor amet alias eaque. Minus eius sunt praesentium. Hic aut quasi sunt eaque dignissimos.</w:t>
      </w:r>
    </w:p>
    <w:p>
      <w:r>
        <w:rPr>
          <w:b/>
        </w:rPr>
        <w:t>Confidential Signoff: Helen Duroux (AHV: 756.3924.9802.60, IBAN: CH27 0024 56834610 2, Card: 501836915592)</w:t>
      </w:r>
    </w:p>
    <w:p>
      <w:pPr>
        <w:pStyle w:val="Heading2"/>
      </w:pPr>
      <w:r>
        <w:t>Risk Factors &amp; Regulatory Compliance</w:t>
      </w:r>
    </w:p>
    <w:p>
      <w:r>
        <w:t>Relationship explain about continue traditional. Live figure trade draw fire attorney cost tonight. While program into again. Thing color set act goal. On major easy body standard note wrong. Moment cold chair behind fight.</w:t>
      </w:r>
    </w:p>
    <w:p>
      <w:r>
        <w:rPr>
          <w:b/>
        </w:rPr>
        <w:t>Confidential Signoff: Michael Bär (AHV: 756.7786.7146.67, IBAN: CH72 0024 53385244 5, Card: 5592766372395045)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