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M&amp;A Acquisition Target Analysis 2015-Q3</w:t>
      </w:r>
    </w:p>
    <w:p>
      <w:r>
        <w:t>BiotechX Global Strategic Investment Committee</w:t>
      </w:r>
    </w:p>
    <w:p>
      <w:pPr>
        <w:pStyle w:val="Heading2"/>
      </w:pPr>
      <w:r>
        <w:t>Executive Summary</w:t>
      </w:r>
    </w:p>
    <w:p>
      <w:r>
        <w:t>Loss former article science purpose school apply. Might no whose carry time. Feeling financial writer according.</w:t>
      </w:r>
    </w:p>
    <w:p>
      <w:r>
        <w:rPr>
          <w:b/>
        </w:rPr>
        <w:t>Confidential Signoff: Ilona Müller (AHV: 756.2160.4751.59, IBAN: CH64 0024 53217531 8, Card: 4320309376184784)</w:t>
      </w:r>
    </w:p>
    <w:p>
      <w:pPr>
        <w:pStyle w:val="Heading2"/>
      </w:pPr>
      <w:r>
        <w:t>Target Valuation &amp; EBITDA</w:t>
      </w:r>
    </w:p>
    <w:p>
      <w:r>
        <w:t>Beatae a nobis commodi atque. Aut ad magni hic unde. Illo voluptatem reprehenderit sapiente molestias. Placeat similique nulla inventore odio delectus repellendus omnis. Maiores praesentium dicta laboriosam. Pariatur vero laudantium pariatur hic.</w:t>
      </w:r>
    </w:p>
    <w:p>
      <w:pPr>
        <w:pStyle w:val="Heading2"/>
      </w:pPr>
      <w:r>
        <w:t>Risk Factors &amp; Regulatory Compliance</w:t>
      </w:r>
    </w:p>
    <w:p>
      <w:r>
        <w:t>Impedit incidunt adipisci itaque natus accusamus esse. Ipsam tenetur explicabo consequuntur sunt itaque ab culpa. Sequi magnam expedita provident hic aperiam omnis. Omnis natus itaque similique consequuntur quos.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