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2016-Q1</w:t>
      </w:r>
    </w:p>
    <w:p>
      <w:r>
        <w:t>BiotechX Global Strategic Investment Committee</w:t>
      </w:r>
    </w:p>
    <w:p>
      <w:pPr>
        <w:pStyle w:val="Heading2"/>
      </w:pPr>
      <w:r>
        <w:t>Executive Summary</w:t>
      </w:r>
    </w:p>
    <w:p>
      <w:r>
        <w:t>Id omnis omnis asperiores vel dignissimos provident repellendus. Ipsam esse facilis mollitia sit. Minima eaque possimus magnam amet.</w:t>
      </w:r>
    </w:p>
    <w:p>
      <w:pPr>
        <w:pStyle w:val="Heading2"/>
      </w:pPr>
      <w:r>
        <w:t>Target Valuation &amp; EBITDA</w:t>
      </w:r>
    </w:p>
    <w:p>
      <w:r>
        <w:t>Eius dignissimos consequatur voluptate dolorem quia distinctio. Quam ratione alias doloremque ipsam quisquam. Accusantium saepe earum nihil. Repudiandae assumenda eius non libero. Harum aliquid dignissimos delectus inventore amet. Adipisci quis vel tenetur quidem.</w:t>
      </w:r>
    </w:p>
    <w:p>
      <w:r>
        <w:rPr>
          <w:b/>
        </w:rPr>
        <w:t>Confidential Signoff: Christina Gaines (AHV: 756.7493.6005.99, IBAN: CH57 0024 53777050 1, Card: 4011947072006425696)</w:t>
      </w:r>
    </w:p>
    <w:p>
      <w:pPr>
        <w:pStyle w:val="Heading2"/>
      </w:pPr>
      <w:r>
        <w:t>Risk Factors &amp; Regulatory Compliance</w:t>
      </w:r>
    </w:p>
    <w:p>
      <w:r>
        <w:t>Dolor ad quas numquam sint quos unde quibusdam. Mollitia veritatis ut enim. Iure nemo necessitatibus maxime cum fugit quia. Consequatur accusamus reiciendis veritatis assumenda. Quo eos necessitatibus aliquam earum.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