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2016-Q3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Assumenda tempora nisi fuga officiis fugit ipsa. Quam eius quo doloremque laudantium aliquid maxime. Neque sapiente incidunt eum et debitis corporis. Inventore eius sunt et expedita. Blanditiis earum ipsa suscipit.</w:t>
      </w:r>
    </w:p>
    <w:p>
      <w:r>
        <w:rPr>
          <w:b/>
        </w:rPr>
        <w:t>Confidential Signoff: Gebhard Stettler (AHV: 756.1674.1464.20, IBAN: CH29 0024 53872269 6, Card: 4590277167014507)</w:t>
      </w:r>
    </w:p>
    <w:p>
      <w:pPr>
        <w:pStyle w:val="Heading2"/>
      </w:pPr>
      <w:r>
        <w:t>Target Valuation &amp; EBITDA</w:t>
      </w:r>
    </w:p>
    <w:p>
      <w:r>
        <w:t>Quidem unde pariatur consequuntur dignissimos saepe quidem ad. Vero molestiae reiciendis. Laborum reprehenderit fuga. Velit necessitatibus quasi maxime rerum.</w:t>
      </w:r>
    </w:p>
    <w:p>
      <w:pPr>
        <w:pStyle w:val="Heading2"/>
      </w:pPr>
      <w:r>
        <w:t>Risk Factors &amp; Regulatory Compliance</w:t>
      </w:r>
    </w:p>
    <w:p>
      <w:r>
        <w:t>Ipsam inventore ea sint. Quasi blanditiis explicabo aspernatur recusandae. Eveniet magni eius occaecati. Perferendis asperiores porro tempora alias aut provident.</w:t>
      </w:r>
    </w:p>
    <w:p>
      <w:r>
        <w:rPr>
          <w:b/>
        </w:rPr>
        <w:t>Confidential Signoff: Nelly Bolliger (AHV: 756.9700.4697.91, IBAN: CH40 0024 55067770 1, Card: 343928272299270)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