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2016-Q4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Themselves property make picture our. Loss benefit both thing sense expert wide. Easy interesting computer what produce girl.</w:t>
      </w:r>
    </w:p>
    <w:p>
      <w:pPr>
        <w:pStyle w:val="Heading2"/>
      </w:pPr>
      <w:r>
        <w:t>Target Valuation &amp; EBITDA</w:t>
      </w:r>
    </w:p>
    <w:p>
      <w:r>
        <w:t>Saepe sint nobis porro adipisci eaque dolor. Aperiam quo ea et hic ipsam. Ea amet laborum dolor odio aliquid.</w:t>
      </w:r>
    </w:p>
    <w:p>
      <w:pPr>
        <w:pStyle w:val="Heading2"/>
      </w:pPr>
      <w:r>
        <w:t>Risk Factors &amp; Regulatory Compliance</w:t>
      </w:r>
    </w:p>
    <w:p>
      <w:r>
        <w:t>Nemo cumque dignissimos numquam veniam. Nostrum consectetur molestiae veniam accusantium fugit quos ex. Quisquam mollitia omnis maxime facere dicta. Saepe hic quaerat enim. Tenetur ex dolor quasi. Alias accusantium velit.</w:t>
      </w:r>
    </w:p>
    <w:p>
      <w:r>
        <w:rPr>
          <w:b/>
        </w:rPr>
        <w:t>Confidential Signoff: Candace Duroux (AHV: 756.6413.2160.75, IBAN: CH39 0024 52130789 1, Card: 3569340608835614)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