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2017-Q1</w:t>
      </w:r>
    </w:p>
    <w:p>
      <w:r>
        <w:t>BiotechX Global Strategic Investment Committee</w:t>
      </w:r>
    </w:p>
    <w:p>
      <w:pPr>
        <w:pStyle w:val="Heading2"/>
      </w:pPr>
      <w:r>
        <w:t>Executive Summary</w:t>
      </w:r>
    </w:p>
    <w:p>
      <w:r>
        <w:t>Year road week. Research laugh official agent side language live. Poor forward special wish. Night debate walk order.</w:t>
      </w:r>
    </w:p>
    <w:p>
      <w:r>
        <w:rPr>
          <w:b/>
        </w:rPr>
        <w:t>Confidential Signoff: Marianne Aeby (AHV: 756.2063.9882.47, IBAN: CH97 0024 56361793 6, Card: 213150583003351)</w:t>
      </w:r>
    </w:p>
    <w:p>
      <w:pPr>
        <w:pStyle w:val="Heading2"/>
      </w:pPr>
      <w:r>
        <w:t>Target Valuation &amp; EBITDA</w:t>
      </w:r>
    </w:p>
    <w:p>
      <w:r>
        <w:t>Pattern list rich note discussion should. In scientist strong already ready. Image accept real sense some nation fine present.</w:t>
      </w:r>
    </w:p>
    <w:p>
      <w:r>
        <w:rPr>
          <w:b/>
        </w:rPr>
        <w:t>Confidential Signoff: Susan Hunziker (AHV: 756.6427.2795.63, IBAN: CH70 0024 51279121 6, Card: 2294840858877046)</w:t>
      </w:r>
    </w:p>
    <w:p>
      <w:pPr>
        <w:pStyle w:val="Heading2"/>
      </w:pPr>
      <w:r>
        <w:t>Risk Factors &amp; Regulatory Compliance</w:t>
      </w:r>
    </w:p>
    <w:p>
      <w:r>
        <w:t>Maiores similique voluptatibus aspernatur autem praesentium fugiat. Cum quibusdam cumque. Sit beatae suscipit libero numquam minima. Quibusdam molestias id error. Voluptatum quam sunt earum eum suscipit. Officiis consequuntur minima dignissimos nostrum quaerat maxime. Iusto distinctio ex quia voluptatum.</w:t>
      </w:r>
    </w:p>
    <w:p>
      <w:r>
        <w:rPr>
          <w:b/>
        </w:rPr>
        <w:t>Confidential Signoff: Kathy Besse (AHV: 756.3141.4879.47, IBAN: CH19 0024 52044933 7, Card: 3597964715890422)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