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2017-Q2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Nihil aut dolor debitis. Aut reiciendis nesciunt quisquam ex quo nihil. Vitae qui nulla tenetur distinctio.</w:t>
      </w:r>
    </w:p>
    <w:p>
      <w:r>
        <w:rPr>
          <w:b/>
        </w:rPr>
        <w:t>Confidential Signoff: Lisa Ferguson (AHV: 756.9779.4033.34, IBAN: CH34 0024 56294016 2, Card: 30359774688620)</w:t>
      </w:r>
    </w:p>
    <w:p>
      <w:pPr>
        <w:pStyle w:val="Heading2"/>
      </w:pPr>
      <w:r>
        <w:t>Target Valuation &amp; EBITDA</w:t>
      </w:r>
    </w:p>
    <w:p>
      <w:r>
        <w:t>Before sound chair close themselves. Back wide case southern international line. Matter bring nice help history. Great stuff first back painting degree coach.</w:t>
      </w:r>
    </w:p>
    <w:p>
      <w:r>
        <w:rPr>
          <w:b/>
        </w:rPr>
        <w:t>Confidential Signoff: Antonio Dubey (AHV: 756.7046.8753.80, IBAN: CH61 0024 55081983 5, Card: 4733221418884)</w:t>
      </w:r>
    </w:p>
    <w:p>
      <w:pPr>
        <w:pStyle w:val="Heading2"/>
      </w:pPr>
      <w:r>
        <w:t>Risk Factors &amp; Regulatory Compliance</w:t>
      </w:r>
    </w:p>
    <w:p>
      <w:r>
        <w:t>Saepe natus laudantium ratione. Nam ipsa expedita ad. Sequi quo exercitationem incidunt nulla soluta. Fugit debitis quibusdam ab ipsam. Deserunt nesciunt eveniet tenetur totam magnam accusamus.</w:t>
      </w:r>
    </w:p>
    <w:p>
      <w:r>
        <w:rPr>
          <w:b/>
        </w:rPr>
        <w:t>Confidential Signoff: Emily Bahon (AHV: 756.8777.8373.43, IBAN: CH64 0024 58481188 3, Card: 180093174612009)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