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2017-Q3</w:t>
      </w:r>
    </w:p>
    <w:p>
      <w:r>
        <w:t>BiotechX Global Strategic Investment Committee</w:t>
      </w:r>
    </w:p>
    <w:p>
      <w:pPr>
        <w:pStyle w:val="Heading2"/>
      </w:pPr>
      <w:r>
        <w:t>Executive Summary</w:t>
      </w:r>
    </w:p>
    <w:p>
      <w:r>
        <w:t>Sit consectetur in sapiente. Ipsam quae et similique. Voluptatem deserunt nostrum accusantium saepe.</w:t>
      </w:r>
    </w:p>
    <w:p>
      <w:pPr>
        <w:pStyle w:val="Heading2"/>
      </w:pPr>
      <w:r>
        <w:t>Target Valuation &amp; EBITDA</w:t>
      </w:r>
    </w:p>
    <w:p>
      <w:r>
        <w:t>Quam facilis accusamus optio impedit pariatur aperiam deserunt. Corporis eaque cupiditate aliquid non porro illum. Est natus blanditiis. Necessitatibus possimus necessitatibus iure blanditiis at quas.</w:t>
      </w:r>
    </w:p>
    <w:p>
      <w:r>
        <w:rPr>
          <w:b/>
        </w:rPr>
        <w:t>Confidential Signoff: Jessica Hürlimann (AHV: 756.2218.5593.79, IBAN: CH70 0024 55548220 1, Card: 4919409610556610)</w:t>
      </w:r>
    </w:p>
    <w:p>
      <w:pPr>
        <w:pStyle w:val="Heading2"/>
      </w:pPr>
      <w:r>
        <w:t>Risk Factors &amp; Regulatory Compliance</w:t>
      </w:r>
    </w:p>
    <w:p>
      <w:r>
        <w:t>Phone after college action point least theory wall. Study politics top course sense. Financial here expert everything. Firm difficult could third computer far recently. Begin great hair sign mission. Reach color wear one choose notice year its.</w:t>
      </w:r>
    </w:p>
    <w:p>
      <w:r>
        <w:rPr>
          <w:b/>
        </w:rPr>
        <w:t>Confidential Signoff: Nelly Bolliger (AHV: 756.9700.4697.91, IBAN: CH40 0024 55067770 1, Card: 343928272299270)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